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ascii="Segoe UI" w:hAnsi="Segoe UI" w:eastAsia="Segoe UI" w:cs="Segoe UI"/>
          <w:b/>
          <w:bCs/>
          <w:i w:val="0"/>
          <w:iCs w:val="0"/>
          <w:caps w:val="0"/>
          <w:color w:val="000000"/>
          <w:spacing w:val="0"/>
          <w:sz w:val="37"/>
          <w:szCs w:val="37"/>
        </w:rPr>
      </w:pPr>
      <w:bookmarkStart w:id="0" w:name="_GoBack"/>
      <w:r>
        <w:rPr>
          <w:rFonts w:hint="default" w:ascii="Segoe UI" w:hAnsi="Segoe UI" w:eastAsia="Segoe UI" w:cs="Segoe UI"/>
          <w:b/>
          <w:bCs/>
          <w:i w:val="0"/>
          <w:iCs w:val="0"/>
          <w:caps w:val="0"/>
          <w:color w:val="000000"/>
          <w:spacing w:val="0"/>
          <w:sz w:val="37"/>
          <w:szCs w:val="37"/>
          <w:bdr w:val="none" w:color="auto" w:sz="0" w:space="0"/>
          <w:shd w:val="clear" w:fill="FFFFFF"/>
        </w:rPr>
        <w:t>银行数字化转型的5大发展趋势</w:t>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pPr>
      <w:r>
        <w:rPr>
          <w:bdr w:val="none" w:color="auto" w:sz="0" w:space="0"/>
        </w:rPr>
        <w:drawing>
          <wp:inline distT="0" distB="0" distL="114300" distR="114300">
            <wp:extent cx="304800" cy="3048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bdr w:val="none" w:color="auto" w:sz="0" w:space="0"/>
        </w:rPr>
        <w:t>银行数字化转型的发展趋势主要包括以下5个方面：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从过去的局部数字化转型向全面数字化转型转变：</w:t>
      </w:r>
      <w:r>
        <w:rPr>
          <w:bdr w:val="none" w:color="auto" w:sz="0" w:space="0"/>
        </w:rPr>
        <w:t>2022年1月，中国银保监会发布《关于银行业保险业数字化转型的指导意见》，标志着中国银行业的数字化转型已经不是过去银行自己主导的局部的数字化转型，而是向监管部门推动的全面数字化转型转变。银行数字化转型从重点关注客户服务、客户营销的局部数字化转型向全系统、全业务、全链路的数字化转型，包括银行业务的前、中、后台等都要全面数字化转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从过去的企业级数字化转型向生态型数字化转型转变。</w:t>
      </w:r>
      <w:r>
        <w:rPr>
          <w:bdr w:val="none" w:color="auto" w:sz="0" w:space="0"/>
        </w:rPr>
        <w:t>银行数字化转型过去一般以解决问题为导向，围绕某个业务板块或产品线实现重点突破，以自身的资源与能力服务于客户，自身客户资源也没有向外部开放。未来的手机银行将从过去的完全于自身客户的一个工具向服务于更多用户及银行数字化转型产业链的相关合作伙伴的生态型平台转变，以招商银行为例，在2021年，招商银行手机银行APP就行全行业开放，引进外部理财机构入驻招商银行APP，建设自己的财富号，共同服务好招商银行的客户及用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从过去的银行公域营销为主向银行私域营销为主转变。</w:t>
      </w:r>
      <w:r>
        <w:rPr>
          <w:bdr w:val="none" w:color="auto" w:sz="0" w:space="0"/>
        </w:rPr>
        <w:t>银行数字化营销越来越受到重视，但在过去是以公域营销为主，也就是借助一些大型互联网平台的流量开展营销工作，随着公域流量越来越贵，公域营销活动的成本越来越高，银行数字化营销投入产出比逐步下降，这必将带来银行未来越来越看重打造自己的私域流量池，利用企业微信建立各类客户服务微信群，如工资代发群、亲子服务群等，以降低数字化营销成本、提高客户服务能力、提升客户体验及满意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从过去的银行IT系统外包为主向银行IT系统自建或联合共建为主转变。</w:t>
      </w:r>
      <w:r>
        <w:rPr>
          <w:bdr w:val="none" w:color="auto" w:sz="0" w:space="0"/>
        </w:rPr>
        <w:t>银行使用的各类IT系统数量非常多，有的银行超过200套，但在银行数字化转型过程中，各大银行深刻认识到自建IT系统的重要性，特别是基于国家安全的重要性，银行业正在深入落实信创改造，这将贯穿银行科技发展全过程，更需要我国银行业提升自身的技术实力，这也从客观上要求银行重视提升自身技术实力，从而实现更多的IT系统自建或联合共建，特别是针对一些中大型银行来说更是如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0" w:afterAutospacing="0"/>
        <w:ind w:left="0" w:right="0"/>
      </w:pPr>
      <w:r>
        <w:rPr>
          <w:rStyle w:val="6"/>
          <w:b/>
          <w:bCs/>
          <w:bdr w:val="none" w:color="auto" w:sz="0" w:space="0"/>
        </w:rPr>
        <w:t>从过去的被动数据治理为主向银行主动数据治理为主转变。</w:t>
      </w:r>
      <w:r>
        <w:rPr>
          <w:bdr w:val="none" w:color="auto" w:sz="0" w:space="0"/>
        </w:rPr>
        <w:t>2018年下发的《银行业金融机构数据治理管理指引》中也提出了对银行监管数据治理工作的要求，提出了“银行业金融机构应当将监管数据纳入数据治理，建立工作机制和流程，确保监管数据报送工作有效组织开展，监管数据质量持续提升。2022年1月份下发的《金融科技发展规划（2022-2025年）》同样非常重视数据治理及数据要素潜能发挥，银保监会监管报送模块包括非现场监管报表（1104）、客户风险数据报送（部分银行报送）、监管数据标准化（EAST），这三类报表是银保监会对于银行三个重要的监管报送模块，也几乎覆盖了金融机构全部数据。总体来说，过去的很多数据治理工作是被动的，主要目的是为了满足监管数据报送要求，主要是开展监管数据治理工作，而随着银行数字化转型的深入，很多银行已经认识到必须开展全行数据治理工作，必须充分发挥数据在银行数字化转型中的重要价值和作用，从而主动开展全行数据治理工作，而不是被动应对监管要求。</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409256CA"/>
    <w:rsid w:val="409256CA"/>
    <w:rsid w:val="40EB76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2023-12-20T08:58:00Z</dcterms:created>
  <dc:creator>MBA笑傲江湖</dc:creator>
  <cp:lastModifiedBy>MBA笑傲江湖</cp:lastModifiedBy>
  <dcterms:modified xsi:type="dcterms:W3CDTF">2023-12-20T08:59:33Z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D0BEBAF3A18A436FB3F54B3FC478191E_11</vt:lpwstr>
  </property>
</Properties>
</file>