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bookmarkStart w:id="0" w:name="_GoBack"/>
      <w:r>
        <w:rPr>
          <w:rFonts w:hint="default" w:ascii="Segoe UI" w:hAnsi="Segoe UI" w:eastAsia="Segoe UI" w:cs="Segoe UI"/>
          <w:b/>
          <w:bCs/>
          <w:i w:val="0"/>
          <w:iCs w:val="0"/>
          <w:caps w:val="0"/>
          <w:color w:val="000000"/>
          <w:spacing w:val="0"/>
          <w:sz w:val="37"/>
          <w:szCs w:val="37"/>
          <w:bdr w:val="none" w:color="auto" w:sz="0" w:space="0"/>
          <w:shd w:val="clear" w:fill="FFFFFF"/>
        </w:rPr>
        <w:t>银行数字化转型的6大关键成功因素</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r>
        <w:rPr>
          <w:bdr w:val="none" w:color="auto" w:sz="0" w:space="0"/>
        </w:rPr>
        <w:drawing>
          <wp:inline distT="0" distB="0" distL="114300" distR="114300">
            <wp:extent cx="304800" cy="3048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bdr w:val="none" w:color="auto" w:sz="0" w:space="0"/>
        </w:rPr>
        <w:t>银行数字化转型的关键成功因素主要包括：科学的数字化转型战略、强大的产品创新能力、优秀的数字化服务能力、领先的金融科技人才、先进的风险控制模型、优秀的数据治理能力六个方面。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科学的数字化转型战略：</w:t>
      </w:r>
      <w:r>
        <w:rPr>
          <w:bdr w:val="none" w:color="auto" w:sz="0" w:space="0"/>
        </w:rPr>
        <w:t>银行数字化转型需要制定科学的、系统的数字化转型战略，明确以客户需求为主导并符合自身实际情况的差异化定位，根据客户需求进行细分市场的选择，并提供特色数字化金融服务，同时围绕数字化转型重塑组织机构和营销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强大的产品创新能力：</w:t>
      </w:r>
      <w:r>
        <w:rPr>
          <w:bdr w:val="none" w:color="auto" w:sz="0" w:space="0"/>
        </w:rPr>
        <w:t>银行数字化转型过程中，可以解决过去银行业产品同质化比较严重的问题，可以针对客户不同特点和需求，采用不同服务渠道或平台为其提供个性化、创新性产品，以及推出跨产品线、跨部门的整体金融服务方案等，通过进行数字化产品的创新，进而提升价值的创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优秀的数字化服务能力：</w:t>
      </w:r>
      <w:r>
        <w:rPr>
          <w:bdr w:val="none" w:color="auto" w:sz="0" w:space="0"/>
        </w:rPr>
        <w:t>作为服务业，在过去同质化比较严重的市场竞争中，服务能力是银行取得优势的重要因素之一。在数字化时代，打造优秀的数字化服务能力同样非常重要，比如招商银行通过手机银行APP及掌上生活APP为客户提供更便捷的数字化服务，不断提升客户体验。在满足客户产品需求的同时，银行地数字化转型更要注重为客户提供快捷、高效、简便的服务，提高客户满意度，增强客户粘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领先的金融科技人才：</w:t>
      </w:r>
      <w:r>
        <w:rPr>
          <w:bdr w:val="none" w:color="auto" w:sz="0" w:space="0"/>
        </w:rPr>
        <w:t>随着产品差异的增强及市场竞争愈加激烈，在产品研发、产品测试、系统运维、数据服务等方面对人才的专业化程度要求越来越高，拥有业内领先的金融科技人才将是未来银行业获得数字化转型成功的关键因素之一，国内各大银行来都在不断提升金融科技人才占比，数据显示，截至2021年底，招商银行研发人员达10043人，同比增长13.07%；交通银行金融科技人员达4539人，占集团员工总人数比例5.03%；兴业银行科技人员占比6.45%，较上年末提升超过1.5个百分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rPr>
          <w:rStyle w:val="6"/>
          <w:b/>
          <w:bCs/>
          <w:bdr w:val="none" w:color="auto" w:sz="0" w:space="0"/>
        </w:rPr>
        <w:t>先进的风险控制模型：</w:t>
      </w:r>
      <w:r>
        <w:rPr>
          <w:bdr w:val="none" w:color="auto" w:sz="0" w:space="0"/>
        </w:rPr>
        <w:t>风险管理水平的高低决定了银行业的盈利水平，也决定了银行数字化转型的成败，银行业要想取得数字化转型的成功，就必须重视风险管理，建立先进的风险控制模型以及全面风险管理体系。数字化风控成为传统风控的最佳拍档，数字化风控可以提供更全面的数据（数据的广度），保留强相关数据（数据的深度），加入实效性数据（数据的鲜活度）。这些新加入的数据与内部数据以及原有数据打通和整合之后，进行更深度的风控模型优化，实现基于监督的自学习能力，可以影响风险评估结果，提升信用风险管理水平，客观反映客户风险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0" w:afterAutospacing="0"/>
        <w:ind w:left="0" w:right="0"/>
      </w:pPr>
      <w:r>
        <w:rPr>
          <w:rStyle w:val="6"/>
          <w:b/>
          <w:bCs/>
          <w:bdr w:val="none" w:color="auto" w:sz="0" w:space="0"/>
        </w:rPr>
        <w:t>优秀的数据治理能力：</w:t>
      </w:r>
      <w:r>
        <w:rPr>
          <w:bdr w:val="none" w:color="auto" w:sz="0" w:space="0"/>
        </w:rPr>
        <w:t>银行数字化转型离不开大量优质的数据，而优质数据的积累离不开优秀的数据治理能力，2018年5月21日，银保监正式发布《银行业金融机构数据治理指引》，要求银行业金融机构通过建立组织架构健全、董监高及内设部门职责分工明确的制度、流程和方法，确保数据的统一管理和运行。《治理指引》的实施将进一步提升银行业金融机构的数据治理能力，同时也对数据合规提出了更高的要求。</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A7D1A9E"/>
    <w:rsid w:val="0A7D1A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2023-12-20T09:56:00Z</dcterms:created>
  <dc:creator>MBA笑傲江湖</dc:creator>
  <cp:lastModifiedBy>MBA笑傲江湖</cp:lastModifiedBy>
  <dcterms:modified xsi:type="dcterms:W3CDTF">2023-12-20T10:03:11Z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A03CCDBCE1A3464E9AE18C7864E906CA_11</vt:lpwstr>
  </property>
</Properties>
</file>