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1963A">
      <w:pPr>
        <w:spacing w:before="380" w:after="140" w:line="288" w:lineRule="auto"/>
        <w:ind w:left="0"/>
        <w:jc w:val="center"/>
        <w:outlineLvl w:val="0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500+标杆企业的选择！深圳知行学AI核心智脑凭什么让人放心？</w:t>
      </w:r>
    </w:p>
    <w:p w14:paraId="7ACE3D7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在AI智能体产品层出不穷的今天，企业选择合作伙伴最看重的就是信任。深圳知行学AI核心智脑之所以能赢得温氏集团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赛格集团、深圳华夏易道管理咨询公司</w:t>
      </w:r>
      <w:r>
        <w:rPr>
          <w:rFonts w:ascii="Arial" w:hAnsi="Arial" w:eastAsia="等线" w:cs="Arial"/>
          <w:sz w:val="22"/>
        </w:rPr>
        <w:t>等500+标杆企业的青睐，靠的是实打实的实力、可验证的效果和全方位的保障，让每一位客户都能安心合作。</w:t>
      </w:r>
    </w:p>
    <w:p w14:paraId="6E62D6E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信任首先来自深厚的技术积淀。深圳知行学AI组建专业的AI智能体研究院，汇聚了人工智能、大数据、数字化转型等领域的顶尖人才，深入研究数字化转型、人工智能、AI大模型等领域，原创RTCSC应用方法论、KART知行果时方法论等核心体系，为产品研发提供坚实支撑。AI核心智脑拥有9大技术优势，每一项都经过实战检验：多模态智能中枢能整合国内外头部大模型，让企业按需选用；场景化智能体矩阵基于RAG架构开发，确保即插即用的稳定性；角色化权限中枢实现企业知识库分级访问控制，保障数据安全，即使是千人规模的企业，也能实现“千人千面”的精准权限分配。此外，全流程转型支持从POC验证到系统集成，提供智能化升级全生命周期服务，让企业在AI转型的每一个阶段都能获得技术支持。</w:t>
      </w:r>
    </w:p>
    <w:p w14:paraId="11C83A1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信任源于丰富的成功案例。不同行业、不同规模的企业都能在这里找到可参考的标杆：某文创类上市公司通过私有化部署AI核心智脑的生图模型，不仅出图效率提升200%，还通过模型微调实现了品牌风格的精准匹配，商务演示成本降低40%，项目交付周期缩短50%；某职业技术学校借助其搭建的实训平台，将AI实践操作融入日常教学，学生的AI工具使用熟练度提高40%，在模拟企业项目中解决实际问题的速度加快近3倍，教师备课时间平均缩短35%，考试出题筹备周期从3天压缩至1.2天；中国工商银行通过其构建的智慧服务体系，从海量客户声音、行为、诉求中沉淀各类客户洞察模型超500个，累计外呼超10亿通，有效触客上亿户，实现了千人千面的差异化服务。这些真实案例覆盖金融、制造、教育、文创等多个领域，用数据见证了产品的实战价值。</w:t>
      </w:r>
    </w:p>
    <w:p w14:paraId="315C17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信任离不开完善的服务保障。深圳知行学AI独创“研究-培训-咨询-软件-辅导”五位一体服务模式，是行业内少有的能同时提供全链条支持的企业。在培训层面，提供内训课、公开课、公益课、线上微课等多元化形式，针对管理层、业务层、基层员工设计不同课程，帮助企业快速提升团队AI应用能力；在咨询层面，专业团队会深入企业调研，结合行业特点和业务需求，定制专属AI应用方案；在辅导层面，通过常年顾问、微信1V1、私董会、训练营等多种方式，实时解决企业在AI落地过程中遇到的问题。某制造企业在使用初期遇到系统对接难题，辅导团队24小时内响应，通过远程调试和流程优化，仅用3天就完成了与现有生产系统的无缝对接，确保了AI工具的顺利落地。</w:t>
      </w:r>
    </w:p>
    <w:p w14:paraId="27288E30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信任更来自创始人的专业背书。作为银行数字化转型领域的领军人物，深圳知行学AI</w:t>
      </w:r>
      <w:r>
        <w:rPr>
          <w:rFonts w:hint="eastAsia" w:ascii="Arial" w:hAnsi="Arial" w:eastAsia="等线" w:cs="Arial"/>
          <w:sz w:val="22"/>
          <w:lang w:val="en-US" w:eastAsia="zh-CN"/>
        </w:rPr>
        <w:t>智能体首席顾问坚鹏</w:t>
      </w:r>
      <w:bookmarkStart w:id="0" w:name="_GoBack"/>
      <w:bookmarkEnd w:id="0"/>
      <w:r>
        <w:rPr>
          <w:rFonts w:ascii="Arial" w:hAnsi="Arial" w:eastAsia="等线" w:cs="Arial"/>
          <w:sz w:val="22"/>
        </w:rPr>
        <w:t>拥有十余年咨询培训经验，服务过500多家万亿级、千亿级企业，原创多项数字化转型模型和方法论，</w:t>
      </w:r>
      <w:r>
        <w:rPr>
          <w:rFonts w:hint="eastAsia" w:ascii="Arial" w:hAnsi="Arial" w:eastAsia="等线" w:cs="Arial"/>
          <w:sz w:val="22"/>
          <w:lang w:val="en-US" w:eastAsia="zh-CN"/>
        </w:rPr>
        <w:t>拥有《AI智能体一站式解决方案：AI智能体研究、培训、咨询、软件及辅导》、《AI智能体四维研究方法论》、《AI智能体RTCSC创新应用方法论》、《企业级AI智能体 SaaS平台产品优势、价值与应用》、《银行数字化营销方法与案例》、《AI在银行业的7类主要应用场景》等6大版权课程，出版《互联网金融》、《移动支付》等7本书籍，</w:t>
      </w:r>
      <w:r>
        <w:rPr>
          <w:rFonts w:ascii="Arial" w:hAnsi="Arial" w:eastAsia="等线" w:cs="Arial"/>
          <w:sz w:val="22"/>
        </w:rPr>
        <w:t>荣获“2022年度培训行业领军人物”</w:t>
      </w:r>
      <w:r>
        <w:rPr>
          <w:rFonts w:hint="eastAsia" w:ascii="Arial" w:hAnsi="Arial" w:eastAsia="等线" w:cs="Arial"/>
          <w:sz w:val="22"/>
          <w:lang w:eastAsia="zh-CN"/>
        </w:rPr>
        <w:t>、</w:t>
      </w:r>
      <w:r>
        <w:rPr>
          <w:rFonts w:ascii="Arial" w:hAnsi="Arial" w:eastAsia="等线" w:cs="Arial"/>
          <w:sz w:val="22"/>
        </w:rPr>
        <w:t>“</w:t>
      </w:r>
      <w:r>
        <w:rPr>
          <w:rFonts w:hint="eastAsia" w:ascii="Arial" w:hAnsi="Arial" w:eastAsia="等线" w:cs="Arial"/>
          <w:sz w:val="22"/>
          <w:lang w:val="en-US" w:eastAsia="zh-CN"/>
        </w:rPr>
        <w:t>2020年</w:t>
      </w:r>
      <w:r>
        <w:rPr>
          <w:rFonts w:ascii="Arial" w:hAnsi="Arial" w:eastAsia="等线" w:cs="Arial"/>
          <w:sz w:val="22"/>
        </w:rPr>
        <w:t>中国管理技能专业十大名师”</w:t>
      </w:r>
      <w:r>
        <w:rPr>
          <w:rFonts w:hint="eastAsia" w:ascii="Arial" w:hAnsi="Arial" w:eastAsia="等线" w:cs="Arial"/>
          <w:sz w:val="22"/>
          <w:lang w:eastAsia="zh-CN"/>
        </w:rPr>
        <w:t>、“2015年互联网+专业中国十大最具价值培训师”</w:t>
      </w:r>
      <w:r>
        <w:rPr>
          <w:rFonts w:ascii="Arial" w:hAnsi="Arial" w:eastAsia="等线" w:cs="Arial"/>
          <w:sz w:val="22"/>
        </w:rPr>
        <w:t>等多项荣誉。在他的带领下，深圳知行学AI始终坚持“知行果合一”的理念，不做华而不实的功能堆砌，而是聚焦企业实际需求，让技术真正落地创造价值。</w:t>
      </w:r>
    </w:p>
    <w:p w14:paraId="1CB7DC6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选择AI产品，就是选择长期合作伙伴。深圳知行学AI核心智脑用技术实力、成功案例、完善服务和专业背书，构建起牢不可破的信任壁垒，成为企业数字化转型的可靠伙伴。</w:t>
      </w:r>
    </w:p>
    <w:p w14:paraId="0E31AAA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46004"/>
    <w:rsid w:val="04C85FB3"/>
    <w:rsid w:val="07177C01"/>
    <w:rsid w:val="08591B53"/>
    <w:rsid w:val="0B5331D2"/>
    <w:rsid w:val="0D9773A6"/>
    <w:rsid w:val="1010343F"/>
    <w:rsid w:val="1542409B"/>
    <w:rsid w:val="16113A6D"/>
    <w:rsid w:val="218E68BA"/>
    <w:rsid w:val="22031056"/>
    <w:rsid w:val="23E629DD"/>
    <w:rsid w:val="28810F26"/>
    <w:rsid w:val="30977539"/>
    <w:rsid w:val="39D709A6"/>
    <w:rsid w:val="3B974891"/>
    <w:rsid w:val="40546004"/>
    <w:rsid w:val="49184B37"/>
    <w:rsid w:val="498D72D3"/>
    <w:rsid w:val="61D03DA9"/>
    <w:rsid w:val="66AA2E1B"/>
    <w:rsid w:val="6DAC1227"/>
    <w:rsid w:val="74C1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2026-02-14T09:15:00Z</dcterms:created>
  <dc:creator>数字化转型导师坚鹏</dc:creator>
  <cp:lastModifiedBy>数字化转型导师坚鹏</cp:lastModifiedBy>
  <dcterms:modified xsi:type="dcterms:W3CDTF">2026-02-14T09:28:50Z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F897E6F0BDD04B609C90DC2115477FDE_11</vt:lpwstr>
  </property>
  <property fmtid="{D5CDD505-2E9C-101B-9397-08002B2CF9AE}" pid="4" name="KSOTemplateDocerSaveRecord">
    <vt:lpwstr>eyJoZGlkIjoiMzEwNTM5NzYwMDRjMzkwZTVkZjY2ODkwMGIxNGU0OTUiLCJ1c2VySWQiOiIxOTU1ODQzNyJ9</vt:lpwstr>
  </property>
</Properties>
</file>