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0D5BCC">
      <w:pPr>
        <w:pStyle w:val="2"/>
        <w:keepNext w:val="0"/>
        <w:keepLines w:val="0"/>
        <w:widowControl/>
        <w:suppressLineNumbers w:val="0"/>
        <w:spacing w:line="15" w:lineRule="atLeast"/>
        <w:ind w:left="0" w:firstLine="0"/>
        <w:jc w:val="center"/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8"/>
          <w:szCs w:val="28"/>
        </w:rPr>
      </w:pPr>
      <w:r>
        <w:rPr>
          <w:rStyle w:val="7"/>
          <w:rFonts w:hint="eastAsia" w:ascii="楷体" w:hAnsi="楷体" w:eastAsia="楷体" w:cs="楷体"/>
          <w:b/>
          <w:i w:val="0"/>
          <w:iCs w:val="0"/>
          <w:caps w:val="0"/>
          <w:color w:val="404040"/>
          <w:spacing w:val="0"/>
          <w:sz w:val="28"/>
          <w:szCs w:val="28"/>
        </w:rPr>
        <w:t>坚鹏导师在农商行数字化转型及AI培训领域的五大核心优势</w:t>
      </w:r>
    </w:p>
    <w:p w14:paraId="615F8FA3">
      <w:pPr>
        <w:pStyle w:val="3"/>
        <w:keepNext w:val="0"/>
        <w:keepLines w:val="0"/>
        <w:widowControl/>
        <w:suppressLineNumbers w:val="0"/>
        <w:ind w:left="0" w:firstLine="0"/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Style w:val="7"/>
          <w:rFonts w:hint="eastAsia" w:ascii="楷体" w:hAnsi="楷体" w:eastAsia="楷体" w:cs="楷体"/>
          <w:b/>
          <w:i w:val="0"/>
          <w:iCs w:val="0"/>
          <w:caps w:val="0"/>
          <w:color w:val="404040"/>
          <w:spacing w:val="0"/>
          <w:sz w:val="24"/>
          <w:szCs w:val="24"/>
        </w:rPr>
        <w:t>1. 行业深度经验与标杆案例背书</w:t>
      </w:r>
    </w:p>
    <w:p w14:paraId="1586E837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720" w:right="0"/>
        <w:rPr>
          <w:rFonts w:hint="eastAsia" w:ascii="楷体" w:hAnsi="楷体" w:eastAsia="楷体" w:cs="楷体"/>
          <w:sz w:val="24"/>
          <w:szCs w:val="24"/>
        </w:rPr>
      </w:pPr>
      <w:r>
        <w:rPr>
          <w:rStyle w:val="7"/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深度服务多家农商行客户，有丰富的实战</w:t>
      </w:r>
      <w:r>
        <w:rPr>
          <w:rStyle w:val="7"/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</w:rPr>
        <w:t>案例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</w:rPr>
        <w:t>：服务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北京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</w:rPr>
        <w:t>农商行、</w:t>
      </w:r>
      <w:bookmarkStart w:id="0" w:name="_GoBack"/>
      <w:bookmarkEnd w:id="0"/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广西省联社、浙江农村商业联合银行、重庆农商行、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</w:rPr>
        <w:t>江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南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</w:rPr>
        <w:t>农商行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  <w:lang w:eastAsia="zh-CN"/>
        </w:rPr>
        <w:t>、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深圳农商行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</w:rPr>
        <w:t>等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多家客户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</w:rPr>
        <w:t>，案例库涵盖20+农商行标杆实践。</w:t>
      </w:r>
    </w:p>
    <w:p w14:paraId="045266DD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720" w:right="0"/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Style w:val="7"/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精准解读农商行相关</w:t>
      </w:r>
      <w:r>
        <w:rPr>
          <w:rStyle w:val="7"/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</w:rPr>
        <w:t>政策</w:t>
      </w:r>
      <w:r>
        <w:rPr>
          <w:rStyle w:val="7"/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  <w:lang w:eastAsia="zh-CN"/>
        </w:rPr>
        <w:t>，</w:t>
      </w:r>
      <w:r>
        <w:rPr>
          <w:rStyle w:val="7"/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实现课程与监管要求同步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</w:rPr>
        <w:t>：深度结合银保监会《关于银行业保险业数字化转型的指导意见》、央行《金融科技发展规划》，确保课程与监管要求同步。</w:t>
      </w:r>
    </w:p>
    <w:p w14:paraId="6EEFB066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720" w:right="0"/>
        <w:rPr>
          <w:rFonts w:hint="eastAsia" w:ascii="楷体" w:hAnsi="楷体" w:eastAsia="楷体" w:cs="楷体"/>
          <w:sz w:val="24"/>
          <w:szCs w:val="24"/>
        </w:rPr>
      </w:pPr>
      <w:r>
        <w:rPr>
          <w:rStyle w:val="7"/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原创</w:t>
      </w:r>
      <w:r>
        <w:rPr>
          <w:rStyle w:val="7"/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</w:rPr>
        <w:t>农商行</w:t>
      </w:r>
      <w:r>
        <w:rPr>
          <w:rStyle w:val="7"/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数字化转型方法论，涵盖培训、咨询与辅导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</w:rPr>
        <w:t>：原创BLM银行数字化转型模型、知行果时（KART）数字化转型方法论、TCC战略落地系统、“三定法”股权激励模型、“263”企业转型升级模型、“三层六方”产业转型升级模型、TCC业绩倍增微咨询方法论、知行果合一方法论。</w:t>
      </w:r>
    </w:p>
    <w:p w14:paraId="5C308430">
      <w:pPr>
        <w:pStyle w:val="3"/>
        <w:keepNext w:val="0"/>
        <w:keepLines w:val="0"/>
        <w:widowControl/>
        <w:suppressLineNumbers w:val="0"/>
        <w:ind w:left="0" w:firstLine="0"/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Style w:val="7"/>
          <w:rFonts w:hint="eastAsia" w:ascii="楷体" w:hAnsi="楷体" w:eastAsia="楷体" w:cs="楷体"/>
          <w:b/>
          <w:i w:val="0"/>
          <w:iCs w:val="0"/>
          <w:caps w:val="0"/>
          <w:color w:val="404040"/>
          <w:spacing w:val="0"/>
          <w:sz w:val="24"/>
          <w:szCs w:val="24"/>
        </w:rPr>
        <w:t>2. 原创方法论与系统化课程体系</w:t>
      </w:r>
    </w:p>
    <w:p w14:paraId="7DA28C10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720" w:right="0"/>
        <w:rPr>
          <w:rFonts w:hint="eastAsia" w:ascii="楷体" w:hAnsi="楷体" w:eastAsia="楷体" w:cs="楷体"/>
          <w:sz w:val="24"/>
          <w:szCs w:val="24"/>
        </w:rPr>
      </w:pPr>
      <w:r>
        <w:rPr>
          <w:rStyle w:val="7"/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</w:rPr>
        <w:t>方法论独创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</w:rPr>
        <w:t>：提出“知行果合一”方法论，将知识学习（知）、行动落地（行）、结果评估（果）闭环融合，贯穿培训全程。</w:t>
      </w:r>
    </w:p>
    <w:p w14:paraId="0AC89815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720" w:right="0"/>
        <w:rPr>
          <w:rFonts w:hint="eastAsia" w:ascii="楷体" w:hAnsi="楷体" w:eastAsia="楷体" w:cs="楷体"/>
          <w:sz w:val="24"/>
          <w:szCs w:val="24"/>
        </w:rPr>
      </w:pPr>
      <w:r>
        <w:rPr>
          <w:rStyle w:val="7"/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</w:rPr>
        <w:t>课程体系完整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</w:rPr>
        <w:t>：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</w:rPr>
        <w:t>独创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TCC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</w:rPr>
        <w:t>“163数字化转型模型”（1个战略、6大战术、3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维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</w:rPr>
        <w:t>战斗力），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</w:rPr>
        <w:t>针对农商行设计19门核心课程（如《农商行数字化风控》《数字人民币创新及金融场景应用》），覆盖战略、战术、战斗力三大维度，支持模块化组合。</w:t>
      </w:r>
    </w:p>
    <w:p w14:paraId="5526348C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720" w:right="0"/>
        <w:rPr>
          <w:rFonts w:hint="eastAsia" w:ascii="楷体" w:hAnsi="楷体" w:eastAsia="楷体" w:cs="楷体"/>
          <w:sz w:val="24"/>
          <w:szCs w:val="24"/>
        </w:rPr>
      </w:pPr>
      <w:r>
        <w:rPr>
          <w:rStyle w:val="7"/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</w:rPr>
        <w:t>AI技术融合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</w:rPr>
        <w:t>：开设《金融科技如何赋能农商行数字化转型》《AI在金融业用户体验领域的应用与设计》等课程，结合ChatGPT、联邦学习等技术案例，推动AI在风控、营销、运营中的落地。</w:t>
      </w:r>
    </w:p>
    <w:p w14:paraId="60741F9F">
      <w:pPr>
        <w:pStyle w:val="3"/>
        <w:keepNext w:val="0"/>
        <w:keepLines w:val="0"/>
        <w:widowControl/>
        <w:suppressLineNumbers w:val="0"/>
        <w:ind w:left="0" w:firstLine="0"/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Style w:val="7"/>
          <w:rFonts w:hint="eastAsia" w:ascii="楷体" w:hAnsi="楷体" w:eastAsia="楷体" w:cs="楷体"/>
          <w:b/>
          <w:i w:val="0"/>
          <w:iCs w:val="0"/>
          <w:caps w:val="0"/>
          <w:color w:val="404040"/>
          <w:spacing w:val="0"/>
          <w:sz w:val="24"/>
          <w:szCs w:val="24"/>
        </w:rPr>
        <w:t>3. 实战导向与工具赋能</w:t>
      </w:r>
    </w:p>
    <w:p w14:paraId="4E1C84DD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720" w:right="0"/>
        <w:rPr>
          <w:rFonts w:hint="eastAsia" w:ascii="楷体" w:hAnsi="楷体" w:eastAsia="楷体" w:cs="楷体"/>
          <w:sz w:val="24"/>
          <w:szCs w:val="24"/>
        </w:rPr>
      </w:pPr>
      <w:r>
        <w:rPr>
          <w:rStyle w:val="7"/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案例分析</w:t>
      </w:r>
      <w:r>
        <w:rPr>
          <w:rStyle w:val="7"/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</w:rPr>
        <w:t>与角色扮演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</w:rPr>
        <w:t>：设计跨部门协作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案例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</w:rPr>
        <w:t>（如业务-科技-风控三角协同）、AI工具实操（如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DEEPSEEK等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</w:rPr>
        <w:t>），强化学员动手能力。</w:t>
      </w:r>
    </w:p>
    <w:p w14:paraId="1E7E547B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720" w:right="0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数据中台与营销中台演示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</w:rPr>
        <w:t>：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培训现场演练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数据中台与营销中台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</w:rPr>
        <w:t>等实战工具，降低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农商行数字化转型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</w:rPr>
        <w:t>门槛。</w:t>
      </w:r>
    </w:p>
    <w:p w14:paraId="163C813D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720" w:right="0"/>
        <w:rPr>
          <w:rFonts w:hint="eastAsia" w:ascii="楷体" w:hAnsi="楷体" w:eastAsia="楷体" w:cs="楷体"/>
          <w:sz w:val="24"/>
          <w:szCs w:val="24"/>
        </w:rPr>
      </w:pPr>
      <w:r>
        <w:rPr>
          <w:rStyle w:val="7"/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</w:rPr>
        <w:t>资源链接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</w:rPr>
        <w:t>：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可以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</w:rPr>
        <w:t>对接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多家优质金融科技公司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</w:rPr>
        <w:t>资源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  <w:lang w:eastAsia="zh-CN"/>
        </w:rPr>
        <w:t>，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帮助农商行快速上线各类AI、智能体及数字化转型系统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</w:rPr>
        <w:t>。</w:t>
      </w:r>
    </w:p>
    <w:p w14:paraId="76416340">
      <w:pPr>
        <w:pStyle w:val="3"/>
        <w:keepNext w:val="0"/>
        <w:keepLines w:val="0"/>
        <w:widowControl/>
        <w:suppressLineNumbers w:val="0"/>
        <w:ind w:left="0" w:firstLine="0"/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Style w:val="7"/>
          <w:rFonts w:hint="eastAsia" w:ascii="楷体" w:hAnsi="楷体" w:eastAsia="楷体" w:cs="楷体"/>
          <w:b/>
          <w:i w:val="0"/>
          <w:iCs w:val="0"/>
          <w:caps w:val="0"/>
          <w:color w:val="404040"/>
          <w:spacing w:val="0"/>
          <w:sz w:val="24"/>
          <w:szCs w:val="24"/>
        </w:rPr>
        <w:t>4. 多维度资源整合与生态共建</w:t>
      </w:r>
    </w:p>
    <w:p w14:paraId="6F86BD5B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720" w:right="0"/>
        <w:rPr>
          <w:rFonts w:hint="eastAsia" w:ascii="楷体" w:hAnsi="楷体" w:eastAsia="楷体" w:cs="楷体"/>
          <w:sz w:val="24"/>
          <w:szCs w:val="24"/>
        </w:rPr>
      </w:pPr>
      <w:r>
        <w:rPr>
          <w:rStyle w:val="7"/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</w:rPr>
        <w:t>跨领域专家网络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</w:rPr>
        <w:t>：整合科技公司（如金融科技服务商）、高校（清华、北大）、监管机构资源，提供“培训+咨询+技术对接”一体化服务。</w:t>
      </w:r>
    </w:p>
    <w:p w14:paraId="14DEBD7E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720" w:right="0"/>
        <w:rPr>
          <w:rFonts w:hint="eastAsia" w:ascii="楷体" w:hAnsi="楷体" w:eastAsia="楷体" w:cs="楷体"/>
          <w:sz w:val="24"/>
          <w:szCs w:val="24"/>
        </w:rPr>
      </w:pPr>
      <w:r>
        <w:rPr>
          <w:rStyle w:val="7"/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</w:rPr>
        <w:t>生态化培训设计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</w:rPr>
        <w:t>：课程融入“金融+场景”生态构建，帮助农商行连接政府、企业、第三方平台。</w:t>
      </w:r>
    </w:p>
    <w:p w14:paraId="11EEEF4A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720" w:right="0"/>
        <w:rPr>
          <w:rFonts w:hint="eastAsia" w:ascii="楷体" w:hAnsi="楷体" w:eastAsia="楷体" w:cs="楷体"/>
          <w:sz w:val="24"/>
          <w:szCs w:val="24"/>
        </w:rPr>
      </w:pPr>
      <w:r>
        <w:rPr>
          <w:rStyle w:val="7"/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</w:rPr>
        <w:t>长期陪伴机制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</w:rPr>
        <w:t>：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创建TCC数字化转型大讲堂，免费解答学员问题，免费赋能客户学员；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</w:rPr>
        <w:t>通过今日头条、抖音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  <w:lang w:eastAsia="zh-CN"/>
        </w:rPr>
        <w:t>、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百家号等自媒体平台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</w:rPr>
        <w:t>持续输出数字化转型内容（500+视频、300+文章），形成“学习-实践-反馈”闭环。</w:t>
      </w:r>
    </w:p>
    <w:p w14:paraId="216BD0EF">
      <w:pPr>
        <w:pStyle w:val="3"/>
        <w:keepNext w:val="0"/>
        <w:keepLines w:val="0"/>
        <w:widowControl/>
        <w:suppressLineNumbers w:val="0"/>
        <w:ind w:left="0" w:firstLine="0"/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Style w:val="7"/>
          <w:rFonts w:hint="eastAsia" w:ascii="楷体" w:hAnsi="楷体" w:eastAsia="楷体" w:cs="楷体"/>
          <w:b/>
          <w:i w:val="0"/>
          <w:iCs w:val="0"/>
          <w:caps w:val="0"/>
          <w:color w:val="404040"/>
          <w:spacing w:val="0"/>
          <w:sz w:val="24"/>
          <w:szCs w:val="24"/>
        </w:rPr>
        <w:t>5. 高管视角与组织变革推动力</w:t>
      </w:r>
    </w:p>
    <w:p w14:paraId="7BD28D29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720" w:right="0"/>
        <w:rPr>
          <w:rFonts w:hint="eastAsia" w:ascii="楷体" w:hAnsi="楷体" w:eastAsia="楷体" w:cs="楷体"/>
          <w:sz w:val="24"/>
          <w:szCs w:val="24"/>
        </w:rPr>
      </w:pPr>
      <w:r>
        <w:rPr>
          <w:rStyle w:val="7"/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</w:rPr>
        <w:t>战略高度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</w:rPr>
        <w:t>：从顶层设计切入，帮助农商行高管厘清数字化转型路径（如《农商行数字化转型战略研究》），平衡短期业绩与长期投入。</w:t>
      </w:r>
    </w:p>
    <w:p w14:paraId="12B1D68F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720" w:right="0"/>
        <w:rPr>
          <w:rFonts w:hint="eastAsia" w:ascii="楷体" w:hAnsi="楷体" w:eastAsia="楷体" w:cs="楷体"/>
          <w:sz w:val="24"/>
          <w:szCs w:val="24"/>
        </w:rPr>
      </w:pPr>
      <w:r>
        <w:rPr>
          <w:rStyle w:val="7"/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</w:rPr>
        <w:t>组织能力升级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</w:rPr>
        <w:t>：设计“铁三角团队”（业务+数据+技术）、制定数字化人才梯队建设方案（如《农商行员工如何提升数字化能力》），解决人才断层问题。</w:t>
      </w:r>
    </w:p>
    <w:p w14:paraId="11FBFB7C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720" w:right="0"/>
        <w:rPr>
          <w:rFonts w:hint="eastAsia" w:ascii="楷体" w:hAnsi="楷体" w:eastAsia="楷体" w:cs="楷体"/>
          <w:sz w:val="24"/>
          <w:szCs w:val="24"/>
        </w:rPr>
      </w:pPr>
      <w:r>
        <w:rPr>
          <w:rStyle w:val="7"/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</w:rPr>
        <w:t>文化重塑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</w:rPr>
        <w:t>：通过“知行果合一”工作坊推动全员转型意识，植入数据驱动、敏捷迭代的文化基因。</w:t>
      </w:r>
    </w:p>
    <w:p w14:paraId="322ACE47">
      <w:pPr>
        <w:pStyle w:val="2"/>
        <w:keepNext w:val="0"/>
        <w:keepLines w:val="0"/>
        <w:widowControl/>
        <w:suppressLineNumbers w:val="0"/>
        <w:spacing w:line="15" w:lineRule="atLeast"/>
        <w:ind w:left="0" w:firstLine="0"/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Style w:val="7"/>
          <w:rFonts w:hint="eastAsia" w:ascii="楷体" w:hAnsi="楷体" w:eastAsia="楷体" w:cs="楷体"/>
          <w:b/>
          <w:i w:val="0"/>
          <w:iCs w:val="0"/>
          <w:caps w:val="0"/>
          <w:color w:val="404040"/>
          <w:spacing w:val="0"/>
          <w:sz w:val="24"/>
          <w:szCs w:val="24"/>
        </w:rPr>
        <w:t>差异化竞争力总结</w:t>
      </w:r>
    </w:p>
    <w:p w14:paraId="3BE90E6B">
      <w:pPr>
        <w:pStyle w:val="4"/>
        <w:keepNext w:val="0"/>
        <w:keepLines w:val="0"/>
        <w:widowControl/>
        <w:suppressLineNumbers w:val="0"/>
        <w:ind w:left="0" w:firstLine="0"/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</w:rPr>
        <w:t>坚鹏导师的优势在于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  <w:lang w:eastAsia="zh-CN"/>
        </w:rPr>
        <w:t>：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</w:rPr>
        <w:t>“战略高度×行业深度×实战精度”：</w:t>
      </w:r>
    </w:p>
    <w:p w14:paraId="2726967F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720" w:right="0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</w:rPr>
        <w:t>既能解读宏观政策，又能下沉到县域农商行的具体业务场景；</w:t>
      </w:r>
    </w:p>
    <w:p w14:paraId="68C5D203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720" w:right="0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</w:rPr>
        <w:t>既提供系统化知识体系，又通过工具和资源链接确保落地；</w:t>
      </w:r>
    </w:p>
    <w:p w14:paraId="2261F586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720" w:right="0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24"/>
          <w:szCs w:val="24"/>
        </w:rPr>
        <w:t>既专注传统数字化转型，又前瞻性融合AI技术应用，打造农商行差异化竞争力。</w:t>
      </w:r>
    </w:p>
    <w:p w14:paraId="35F1804D">
      <w:pPr>
        <w:rPr>
          <w:rFonts w:hint="eastAsia" w:ascii="楷体" w:hAnsi="楷体" w:eastAsia="楷体" w:cs="楷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3D1BDB"/>
    <w:rsid w:val="007D6A53"/>
    <w:rsid w:val="0580501B"/>
    <w:rsid w:val="06F21F49"/>
    <w:rsid w:val="0A375EC4"/>
    <w:rsid w:val="0AAB0D8C"/>
    <w:rsid w:val="0DDA1988"/>
    <w:rsid w:val="0F3A26DF"/>
    <w:rsid w:val="10CA5CE4"/>
    <w:rsid w:val="14641A94"/>
    <w:rsid w:val="147E12BF"/>
    <w:rsid w:val="14C34F24"/>
    <w:rsid w:val="14C36CD2"/>
    <w:rsid w:val="17F84EE5"/>
    <w:rsid w:val="1A330551"/>
    <w:rsid w:val="2059673D"/>
    <w:rsid w:val="21352D06"/>
    <w:rsid w:val="223D1BDB"/>
    <w:rsid w:val="25A71CF8"/>
    <w:rsid w:val="28F33BD2"/>
    <w:rsid w:val="28F60FCD"/>
    <w:rsid w:val="2A134397"/>
    <w:rsid w:val="2A3C6EB3"/>
    <w:rsid w:val="2ACF7D27"/>
    <w:rsid w:val="2D490D28"/>
    <w:rsid w:val="2E24038A"/>
    <w:rsid w:val="2E7C01C6"/>
    <w:rsid w:val="2F990904"/>
    <w:rsid w:val="2F9C6646"/>
    <w:rsid w:val="36C46BAE"/>
    <w:rsid w:val="375A12C0"/>
    <w:rsid w:val="375A306E"/>
    <w:rsid w:val="37C92A4B"/>
    <w:rsid w:val="3C4D13F4"/>
    <w:rsid w:val="3F214472"/>
    <w:rsid w:val="45ED3300"/>
    <w:rsid w:val="4645313C"/>
    <w:rsid w:val="47C167F2"/>
    <w:rsid w:val="4BCF5981"/>
    <w:rsid w:val="4D53613E"/>
    <w:rsid w:val="4F870321"/>
    <w:rsid w:val="4FA113E3"/>
    <w:rsid w:val="521A1920"/>
    <w:rsid w:val="593B28A8"/>
    <w:rsid w:val="5B5A4B3C"/>
    <w:rsid w:val="5E2E29DB"/>
    <w:rsid w:val="5FA62A45"/>
    <w:rsid w:val="62BD2580"/>
    <w:rsid w:val="63B75221"/>
    <w:rsid w:val="6A611A43"/>
    <w:rsid w:val="6E14501E"/>
    <w:rsid w:val="739E7864"/>
    <w:rsid w:val="7711659E"/>
    <w:rsid w:val="7ECD7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2025-02-26T07:28:00Z</dcterms:created>
  <dc:creator>数字化转型导师坚鹏</dc:creator>
  <cp:lastModifiedBy>数字化转型导师坚鹏</cp:lastModifiedBy>
  <dcterms:modified xsi:type="dcterms:W3CDTF">2025-02-26T07:46:58Z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E2DA67766678411E8515DA3449D75486_11</vt:lpwstr>
  </property>
  <property fmtid="{D5CDD505-2E9C-101B-9397-08002B2CF9AE}" pid="4" name="KSOTemplateDocerSaveRecord">
    <vt:lpwstr>eyJoZGlkIjoiMzEwNTM5NzYwMDRjMzkwZTVkZjY2ODkwMGIxNGU0OTUiLCJ1c2VySWQiOiIxOTU1ODQzNyJ9</vt:lpwstr>
  </property>
</Properties>
</file>