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003878">
      <w:pPr>
        <w:pStyle w:val="2"/>
        <w:keepNext w:val="0"/>
        <w:keepLines w:val="0"/>
        <w:widowControl/>
        <w:suppressLineNumbers w:val="0"/>
        <w:spacing w:line="360" w:lineRule="auto"/>
        <w:ind w:left="0" w:firstLine="0"/>
        <w:jc w:val="center"/>
        <w:rPr>
          <w:rFonts w:ascii="Segoe UI" w:hAnsi="Segoe UI" w:eastAsia="Segoe UI" w:cs="Segoe UI"/>
          <w:i w:val="0"/>
          <w:iCs w:val="0"/>
          <w:caps w:val="0"/>
          <w:color w:val="404040"/>
          <w:spacing w:val="0"/>
          <w:sz w:val="28"/>
          <w:szCs w:val="28"/>
        </w:rPr>
      </w:pPr>
      <w:bookmarkStart w:id="0" w:name="_GoBack"/>
      <w:r>
        <w:rPr>
          <w:rStyle w:val="7"/>
          <w:rFonts w:hint="eastAsia" w:ascii="Segoe UI" w:hAnsi="Segoe UI" w:cs="Segoe UI"/>
          <w:b/>
          <w:i w:val="0"/>
          <w:iCs w:val="0"/>
          <w:caps w:val="0"/>
          <w:color w:val="404040"/>
          <w:spacing w:val="0"/>
          <w:sz w:val="28"/>
          <w:szCs w:val="28"/>
          <w:lang w:val="en-US" w:eastAsia="zh-CN"/>
        </w:rPr>
        <w:t>数字化转型</w:t>
      </w:r>
      <w:r>
        <w:rPr>
          <w:rStyle w:val="7"/>
          <w:rFonts w:hint="default" w:ascii="Segoe UI" w:hAnsi="Segoe UI" w:eastAsia="Segoe UI" w:cs="Segoe UI"/>
          <w:b/>
          <w:i w:val="0"/>
          <w:iCs w:val="0"/>
          <w:caps w:val="0"/>
          <w:color w:val="404040"/>
          <w:spacing w:val="0"/>
          <w:sz w:val="28"/>
          <w:szCs w:val="28"/>
        </w:rPr>
        <w:t>导师坚鹏AI</w:t>
      </w:r>
      <w:r>
        <w:rPr>
          <w:rStyle w:val="7"/>
          <w:rFonts w:hint="eastAsia" w:ascii="Segoe UI" w:hAnsi="Segoe UI" w:cs="Segoe UI"/>
          <w:b/>
          <w:i w:val="0"/>
          <w:iCs w:val="0"/>
          <w:caps w:val="0"/>
          <w:color w:val="404040"/>
          <w:spacing w:val="0"/>
          <w:sz w:val="28"/>
          <w:szCs w:val="28"/>
          <w:lang w:val="en-US" w:eastAsia="zh-CN"/>
        </w:rPr>
        <w:t>及数字化转型</w:t>
      </w:r>
      <w:r>
        <w:rPr>
          <w:rStyle w:val="7"/>
          <w:rFonts w:hint="default" w:ascii="Segoe UI" w:hAnsi="Segoe UI" w:eastAsia="Segoe UI" w:cs="Segoe UI"/>
          <w:b/>
          <w:i w:val="0"/>
          <w:iCs w:val="0"/>
          <w:caps w:val="0"/>
          <w:color w:val="404040"/>
          <w:spacing w:val="0"/>
          <w:sz w:val="28"/>
          <w:szCs w:val="28"/>
        </w:rPr>
        <w:t>培训五大核心优势</w:t>
      </w:r>
    </w:p>
    <w:bookmarkEnd w:id="0"/>
    <w:p w14:paraId="1E79BF1E">
      <w:pPr>
        <w:pStyle w:val="3"/>
        <w:keepNext w:val="0"/>
        <w:keepLines w:val="0"/>
        <w:widowControl/>
        <w:suppressLineNumbers w:val="0"/>
        <w:spacing w:line="360" w:lineRule="auto"/>
        <w:ind w:left="0" w:firstLine="0"/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Style w:val="7"/>
          <w:rFonts w:hint="default" w:ascii="Segoe UI" w:hAnsi="Segoe UI" w:eastAsia="Segoe UI" w:cs="Segoe UI"/>
          <w:b/>
          <w:i w:val="0"/>
          <w:iCs w:val="0"/>
          <w:caps w:val="0"/>
          <w:color w:val="404040"/>
          <w:spacing w:val="0"/>
          <w:sz w:val="24"/>
          <w:szCs w:val="24"/>
        </w:rPr>
        <w:t>1. 深厚的行业实战经验与标杆案例背书</w:t>
      </w:r>
    </w:p>
    <w:p w14:paraId="728CE751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720" w:right="0"/>
        <w:rPr>
          <w:sz w:val="24"/>
          <w:szCs w:val="24"/>
        </w:rPr>
      </w:pPr>
      <w:r>
        <w:rPr>
          <w:rStyle w:val="7"/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服务客户广泛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：覆盖工商银行、中国邮政储蓄银行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>、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招商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银行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>、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兴业银行等头部金融机构，累计服务超500家客户，涉及战略规划、组织优化、数字化营销、风控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AI大模型应用、AI智能体应用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等全链条AI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及数字化转型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应用场景。</w:t>
      </w:r>
    </w:p>
    <w:p w14:paraId="4E1EF03B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720" w:right="0"/>
        <w:rPr>
          <w:sz w:val="24"/>
          <w:szCs w:val="24"/>
        </w:rPr>
      </w:pPr>
      <w:r>
        <w:rPr>
          <w:rStyle w:val="7"/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成果可</w:t>
      </w:r>
      <w:r>
        <w:rPr>
          <w:rStyle w:val="7"/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以</w:t>
      </w:r>
      <w:r>
        <w:rPr>
          <w:rStyle w:val="7"/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量化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：如帮助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某国有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银行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省分行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提升净利润2亿元，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帮助某全国性股份制银行优化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流程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从而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降低30%沟通成本，案例覆盖银行、保险、政府等多领域，验证方法论的实效性。</w:t>
      </w:r>
    </w:p>
    <w:p w14:paraId="703ED8AD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720" w:right="0"/>
        <w:rPr>
          <w:sz w:val="24"/>
          <w:szCs w:val="24"/>
        </w:rPr>
      </w:pPr>
      <w:r>
        <w:rPr>
          <w:rStyle w:val="7"/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行业权威认可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：担任中国人民银行、清华大学等机构特聘讲师，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AI及数字化转型等多门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课程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成为行业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标杆。</w:t>
      </w:r>
    </w:p>
    <w:p w14:paraId="7BE2B0E1">
      <w:pPr>
        <w:pStyle w:val="3"/>
        <w:keepNext w:val="0"/>
        <w:keepLines w:val="0"/>
        <w:widowControl/>
        <w:suppressLineNumbers w:val="0"/>
        <w:spacing w:line="360" w:lineRule="auto"/>
        <w:ind w:left="0" w:firstLine="0"/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Style w:val="7"/>
          <w:rFonts w:hint="default" w:ascii="Segoe UI" w:hAnsi="Segoe UI" w:eastAsia="Segoe UI" w:cs="Segoe UI"/>
          <w:b/>
          <w:i w:val="0"/>
          <w:iCs w:val="0"/>
          <w:caps w:val="0"/>
          <w:color w:val="404040"/>
          <w:spacing w:val="0"/>
          <w:sz w:val="24"/>
          <w:szCs w:val="24"/>
        </w:rPr>
        <w:t>2. 系统性课程设计与原创方法论支撑</w:t>
      </w:r>
    </w:p>
    <w:p w14:paraId="70D321E5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720" w:right="0"/>
        <w:rPr>
          <w:sz w:val="24"/>
          <w:szCs w:val="24"/>
        </w:rPr>
      </w:pPr>
      <w:r>
        <w:rPr>
          <w:rStyle w:val="7"/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课程体系全面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：已开发50+门数字化转型课程，覆盖AI赋能人才培养、办公提效、营销创新等细分领域（如《AI赋能银行数字化人才培养》《人工智能在银行数字化转型中的应用与案例分析》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《AI大模型应用》《AI智能体应用》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）。</w:t>
      </w:r>
    </w:p>
    <w:p w14:paraId="165F7AD1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720" w:right="0"/>
        <w:rPr>
          <w:sz w:val="24"/>
          <w:szCs w:val="24"/>
        </w:rPr>
      </w:pPr>
      <w:r>
        <w:rPr>
          <w:rStyle w:val="7"/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内容深度结合</w:t>
      </w:r>
      <w:r>
        <w:rPr>
          <w:rStyle w:val="7"/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数字化</w:t>
      </w:r>
      <w:r>
        <w:rPr>
          <w:rStyle w:val="7"/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技术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：从底层技术逻辑（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AI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、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大数据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、大模型）到场景化应用（智能客服、风控、营销闭环），形成“技术-场景-工具-案例”四维知识体系。</w:t>
      </w:r>
    </w:p>
    <w:p w14:paraId="0AC8D69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720" w:right="0"/>
        <w:rPr>
          <w:sz w:val="24"/>
          <w:szCs w:val="24"/>
        </w:rPr>
      </w:pPr>
      <w:r>
        <w:rPr>
          <w:rStyle w:val="7"/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原创理论工具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：独创BLM数字化转型战略、知行果合一方法论，提供可落地的“战略-执行-评估”框架。</w:t>
      </w:r>
    </w:p>
    <w:p w14:paraId="0A90A73F">
      <w:pPr>
        <w:pStyle w:val="3"/>
        <w:keepNext w:val="0"/>
        <w:keepLines w:val="0"/>
        <w:widowControl/>
        <w:suppressLineNumbers w:val="0"/>
        <w:spacing w:line="360" w:lineRule="auto"/>
        <w:ind w:left="0" w:firstLine="0"/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Style w:val="7"/>
          <w:rFonts w:hint="default" w:ascii="Segoe UI" w:hAnsi="Segoe UI" w:eastAsia="Segoe UI" w:cs="Segoe UI"/>
          <w:b/>
          <w:i w:val="0"/>
          <w:iCs w:val="0"/>
          <w:caps w:val="0"/>
          <w:color w:val="404040"/>
          <w:spacing w:val="0"/>
          <w:sz w:val="24"/>
          <w:szCs w:val="24"/>
        </w:rPr>
        <w:t>3. 理论高度与知识输出的行业引领力</w:t>
      </w:r>
    </w:p>
    <w:p w14:paraId="02E17D6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720" w:right="0"/>
        <w:rPr>
          <w:sz w:val="24"/>
          <w:szCs w:val="24"/>
        </w:rPr>
      </w:pPr>
      <w:r>
        <w:rPr>
          <w:rStyle w:val="7"/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学术成果丰硕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：出版7本专业书籍（如《互联网金融路线图》），计划出版《BLM银行数字化转型战略》等系列著作，奠定行业思想领导地位。</w:t>
      </w:r>
    </w:p>
    <w:p w14:paraId="6A8F648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720" w:right="0"/>
        <w:rPr>
          <w:sz w:val="24"/>
          <w:szCs w:val="24"/>
        </w:rPr>
      </w:pPr>
      <w:r>
        <w:rPr>
          <w:rStyle w:val="7"/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政策与趋势前瞻性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：深度解读银保监会、国资委政策，结合ChatGPT、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DEEPSEEK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等前沿技术设计课程（如《ChatGPT大模型金融业应用案例》），助力客户把握AI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及数字化转型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浪潮。</w:t>
      </w:r>
    </w:p>
    <w:p w14:paraId="2F88539F">
      <w:pPr>
        <w:pStyle w:val="3"/>
        <w:keepNext w:val="0"/>
        <w:keepLines w:val="0"/>
        <w:widowControl/>
        <w:suppressLineNumbers w:val="0"/>
        <w:spacing w:line="360" w:lineRule="auto"/>
        <w:ind w:left="0" w:firstLine="0"/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Style w:val="7"/>
          <w:rFonts w:hint="default" w:ascii="Segoe UI" w:hAnsi="Segoe UI" w:eastAsia="Segoe UI" w:cs="Segoe UI"/>
          <w:b/>
          <w:i w:val="0"/>
          <w:iCs w:val="0"/>
          <w:caps w:val="0"/>
          <w:color w:val="404040"/>
          <w:spacing w:val="0"/>
          <w:sz w:val="24"/>
          <w:szCs w:val="24"/>
        </w:rPr>
        <w:t>4. 多维教学模式与实战工具赋能</w:t>
      </w:r>
    </w:p>
    <w:p w14:paraId="3B72A08D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720" w:right="0"/>
        <w:rPr>
          <w:sz w:val="24"/>
          <w:szCs w:val="24"/>
        </w:rPr>
      </w:pPr>
      <w:r>
        <w:rPr>
          <w:rStyle w:val="7"/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“案例+工具+行动”三位一体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：课程配套AI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及数字化转型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等实用工具包（如《如何利用AI数字化系统提升营销效能与办公效率》中的SCRM系统、企业微信社群运营百宝箱）。</w:t>
      </w:r>
    </w:p>
    <w:p w14:paraId="7A55DDDF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720" w:right="0"/>
        <w:rPr>
          <w:sz w:val="24"/>
          <w:szCs w:val="24"/>
        </w:rPr>
      </w:pPr>
      <w:r>
        <w:rPr>
          <w:rStyle w:val="7"/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咨询式培训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：以解决实际问题为导向，课后提供行动计划制定辅导（如“根据工作问题制定数字化转型优先级矩阵”）。</w:t>
      </w:r>
    </w:p>
    <w:p w14:paraId="6C7CB3DE">
      <w:pPr>
        <w:pStyle w:val="3"/>
        <w:keepNext w:val="0"/>
        <w:keepLines w:val="0"/>
        <w:widowControl/>
        <w:suppressLineNumbers w:val="0"/>
        <w:spacing w:line="360" w:lineRule="auto"/>
        <w:ind w:left="0" w:firstLine="0"/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Style w:val="7"/>
          <w:rFonts w:hint="default" w:ascii="Segoe UI" w:hAnsi="Segoe UI" w:eastAsia="Segoe UI" w:cs="Segoe UI"/>
          <w:b/>
          <w:i w:val="0"/>
          <w:iCs w:val="0"/>
          <w:caps w:val="0"/>
          <w:color w:val="404040"/>
          <w:spacing w:val="0"/>
          <w:sz w:val="24"/>
          <w:szCs w:val="24"/>
        </w:rPr>
        <w:t>5. 资源整合与持续服务能力</w:t>
      </w:r>
    </w:p>
    <w:p w14:paraId="0BF91D50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720" w:right="0"/>
        <w:rPr>
          <w:sz w:val="24"/>
          <w:szCs w:val="24"/>
        </w:rPr>
      </w:pPr>
      <w:r>
        <w:rPr>
          <w:rStyle w:val="7"/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生态链接能力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：整合金融科技公司、监管机构资源，提供“培训+咨询+辅导+出版”一体化服务，如常年顾问、私董会、线上社群等。</w:t>
      </w:r>
    </w:p>
    <w:p w14:paraId="54B0C19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720" w:right="0"/>
        <w:rPr>
          <w:sz w:val="24"/>
          <w:szCs w:val="24"/>
        </w:rPr>
      </w:pPr>
      <w:r>
        <w:rPr>
          <w:rStyle w:val="7"/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长期陪伴机制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：建立3个月线上辅导跟踪，通过今日头条、抖音等平台持续输出500+视频、300+文章，形成“学习-实践-反馈”闭环。</w:t>
      </w:r>
    </w:p>
    <w:p w14:paraId="63A2EF6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720" w:right="0"/>
        <w:rPr>
          <w:sz w:val="24"/>
          <w:szCs w:val="24"/>
        </w:rPr>
      </w:pPr>
      <w:r>
        <w:rPr>
          <w:rStyle w:val="7"/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跨行业经验融合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：服务政府（如深圳市国资委）、企业（如比亚迪、温氏集团），将产业互联网经验反哺金融AI应用创新。</w:t>
      </w:r>
    </w:p>
    <w:p w14:paraId="4E3A8F7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360" w:lineRule="auto"/>
        <w:ind w:left="0" w:firstLine="0"/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</w:pPr>
    </w:p>
    <w:p w14:paraId="14D95E76">
      <w:pPr>
        <w:pStyle w:val="2"/>
        <w:keepNext w:val="0"/>
        <w:keepLines w:val="0"/>
        <w:widowControl/>
        <w:suppressLineNumbers w:val="0"/>
        <w:spacing w:line="360" w:lineRule="auto"/>
        <w:ind w:left="0" w:firstLine="0"/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</w:pPr>
      <w:r>
        <w:rPr>
          <w:rStyle w:val="7"/>
          <w:rFonts w:hint="eastAsia" w:ascii="Segoe UI" w:hAnsi="Segoe UI" w:cs="Segoe UI"/>
          <w:b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坚鹏导师AI培训</w:t>
      </w:r>
      <w:r>
        <w:rPr>
          <w:rStyle w:val="7"/>
          <w:rFonts w:hint="default" w:ascii="Segoe UI" w:hAnsi="Segoe UI" w:eastAsia="Segoe UI" w:cs="Segoe UI"/>
          <w:b/>
          <w:i w:val="0"/>
          <w:iCs w:val="0"/>
          <w:caps w:val="0"/>
          <w:color w:val="404040"/>
          <w:spacing w:val="0"/>
          <w:sz w:val="24"/>
          <w:szCs w:val="24"/>
        </w:rPr>
        <w:t>差异化竞争力总结</w:t>
      </w:r>
      <w:r>
        <w:rPr>
          <w:rStyle w:val="7"/>
          <w:rFonts w:hint="eastAsia" w:ascii="Segoe UI" w:hAnsi="Segoe UI" w:cs="Segoe UI"/>
          <w:b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>：</w:t>
      </w:r>
    </w:p>
    <w:p w14:paraId="4982C857">
      <w:pPr>
        <w:pStyle w:val="4"/>
        <w:keepNext w:val="0"/>
        <w:keepLines w:val="0"/>
        <w:widowControl/>
        <w:suppressLineNumbers w:val="0"/>
        <w:spacing w:line="360" w:lineRule="auto"/>
        <w:ind w:left="0" w:firstLine="480" w:firstLineChars="200"/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优势不仅在于AI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及数字化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技术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应用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的传授，更在于“战略高度+实战深度+资源广度”的独特组合：</w:t>
      </w:r>
    </w:p>
    <w:p w14:paraId="0171B9E1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720" w:right="0"/>
        <w:rPr>
          <w:sz w:val="24"/>
          <w:szCs w:val="24"/>
        </w:rPr>
      </w:pPr>
      <w:r>
        <w:rPr>
          <w:rStyle w:val="7"/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战略高度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：从顶层设计（BLM模型）到政策解读，帮助客户构建AI转型全局视野；</w:t>
      </w:r>
    </w:p>
    <w:p w14:paraId="40FACDEA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720" w:right="0"/>
        <w:rPr>
          <w:sz w:val="24"/>
          <w:szCs w:val="24"/>
        </w:rPr>
      </w:pPr>
      <w:r>
        <w:rPr>
          <w:rStyle w:val="7"/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实战深度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：通过10年+咨询案例库，提供可复用的场景化解决方案；</w:t>
      </w:r>
    </w:p>
    <w:p w14:paraId="79A4D960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720" w:right="0"/>
        <w:rPr>
          <w:sz w:val="24"/>
          <w:szCs w:val="24"/>
        </w:rPr>
      </w:pPr>
      <w:r>
        <w:rPr>
          <w:rStyle w:val="7"/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知识</w:t>
      </w:r>
      <w:r>
        <w:rPr>
          <w:rStyle w:val="7"/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广度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：链接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数字化转型战略、营销、运营、风控、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技术、产业、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规划、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政策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>、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数据分析、数据治理、数据安全、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AI大模型应用、AI智能体应用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等多个维度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，赋能客户实现从认知到落地的跨越。</w:t>
      </w:r>
    </w:p>
    <w:p w14:paraId="67FB9CE7">
      <w:pPr>
        <w:pStyle w:val="4"/>
        <w:keepNext w:val="0"/>
        <w:keepLines w:val="0"/>
        <w:widowControl/>
        <w:suppressLineNumbers w:val="0"/>
        <w:spacing w:after="0" w:afterAutospacing="0" w:line="360" w:lineRule="auto"/>
        <w:ind w:left="0" w:firstLine="480" w:firstLineChars="200"/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这些优势使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坚鹏导师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成为金融机构在AI时代“既懂技术、又懂业务、更懂落地”的稀缺型导师，精准匹配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金融机构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对“知行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果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  <w:t>合一”培训服务的需求。</w:t>
      </w:r>
    </w:p>
    <w:p w14:paraId="5EAF2D44">
      <w:pPr>
        <w:spacing w:line="360" w:lineRule="auto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5B47B7"/>
    <w:rsid w:val="105B47B7"/>
    <w:rsid w:val="362E5436"/>
    <w:rsid w:val="50997DCA"/>
    <w:rsid w:val="5D534B76"/>
    <w:rsid w:val="5F07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1256</Words>
  <Characters>1322</Characters>
  <Lines>0</Lines>
  <Paragraphs>0</Paragraphs>
  <TotalTime>1</TotalTime>
  <ScaleCrop>false</ScaleCrop>
  <LinksUpToDate>false</LinksUpToDate>
  <CharactersWithSpaces>1327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2025-02-18T12:47:00Z</dcterms:created>
  <dc:creator>数字化转型导师坚鹏</dc:creator>
  <cp:lastModifiedBy>数字化转型导师坚鹏</cp:lastModifiedBy>
  <dcterms:modified xsi:type="dcterms:W3CDTF">2026-02-02T03:59:48Z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A56B2904641E4C07930E2BA904FB940C_11</vt:lpwstr>
  </property>
  <property fmtid="{D5CDD505-2E9C-101B-9397-08002B2CF9AE}" pid="4" name="KSOTemplateDocerSaveRecord">
    <vt:lpwstr>eyJoZGlkIjoiMzEwNTM5NzYwMDRjMzkwZTVkZjY2ODkwMGIxNGU0OTUiLCJ1c2VySWQiOiIxOTU1ODQzNyJ9</vt:lpwstr>
  </property>
</Properties>
</file>