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119A4">
      <w:pPr>
        <w:jc w:val="center"/>
        <w:rPr>
          <w:rFonts w:ascii="Arial" w:hAnsi="Arial" w:eastAsia="等线" w:cs="Arial"/>
          <w:b/>
          <w:sz w:val="36"/>
        </w:rPr>
      </w:pPr>
      <w:r>
        <w:rPr>
          <w:rFonts w:ascii="Arial" w:hAnsi="Arial" w:eastAsia="等线" w:cs="Arial"/>
          <w:b/>
          <w:sz w:val="36"/>
        </w:rPr>
        <w:t>深圳知行学 AI 营销智脑有哪些价值</w:t>
      </w:r>
    </w:p>
    <w:p w14:paraId="78E28951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037455" cy="2799080"/>
            <wp:effectExtent l="0" t="0" r="4445" b="7620"/>
            <wp:docPr id="3" name="图片 3" descr="深圳知行学AI营销智脑U6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深圳知行学AI营销智脑U6产品宣传海报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279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0" w:name="_GoBack"/>
      <w:bookmarkEnd w:id="20"/>
    </w:p>
    <w:p w14:paraId="0E1F2E91">
      <w:pPr>
        <w:spacing w:before="120" w:after="120" w:line="288" w:lineRule="auto"/>
        <w:ind w:left="0"/>
        <w:jc w:val="left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sz w:val="22"/>
        </w:rPr>
        <w:t>AI 营销时代，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AI智能体首席顾问、数字化转型导师坚鹏认为：</w:t>
      </w:r>
      <w:r>
        <w:rPr>
          <w:rFonts w:ascii="Arial" w:hAnsi="Arial" w:eastAsia="等线" w:cs="Arial"/>
          <w:sz w:val="22"/>
        </w:rPr>
        <w:t>企业选择营销智脑不能只看 “写文案更快” 这一个浅层收益，</w:t>
      </w:r>
      <w:r>
        <w:rPr>
          <w:rFonts w:hint="eastAsia" w:ascii="Arial" w:hAnsi="Arial" w:eastAsia="等线" w:cs="Arial"/>
          <w:sz w:val="22"/>
          <w:lang w:val="en-US" w:eastAsia="zh-CN"/>
        </w:rPr>
        <w:t>需要</w:t>
      </w:r>
      <w:r>
        <w:rPr>
          <w:rFonts w:ascii="Arial" w:hAnsi="Arial" w:eastAsia="等线" w:cs="Arial"/>
          <w:sz w:val="22"/>
        </w:rPr>
        <w:t>从</w:t>
      </w:r>
      <w:r>
        <w:rPr>
          <w:rFonts w:ascii="Arial" w:hAnsi="Arial" w:eastAsia="等线" w:cs="Arial"/>
          <w:b/>
          <w:sz w:val="22"/>
        </w:rPr>
        <w:t>业务增长价值、人力与投入成本优化价值、营销数字资产沉淀价值、营销组织作业模式革新价值、行业普惠与长期服务生态价值</w:t>
      </w:r>
      <w:r>
        <w:rPr>
          <w:rFonts w:ascii="Arial" w:hAnsi="Arial" w:eastAsia="等线" w:cs="Arial"/>
          <w:sz w:val="22"/>
        </w:rPr>
        <w:t>五大维度综合评估深圳知行学 AI 营销智脑 U6 的综合价值。</w:t>
      </w:r>
      <w:r>
        <w:rPr>
          <w:rFonts w:hint="eastAsia" w:ascii="Arial" w:hAnsi="Arial" w:eastAsia="等线" w:cs="Arial"/>
          <w:sz w:val="22"/>
          <w:lang w:val="en-US" w:eastAsia="zh-CN"/>
        </w:rPr>
        <w:t>五大价值具体如下所示：</w:t>
      </w:r>
    </w:p>
    <w:p w14:paraId="58E449CA">
      <w:pPr>
        <w:spacing w:before="320" w:after="120" w:line="288" w:lineRule="auto"/>
        <w:ind w:left="0"/>
        <w:jc w:val="left"/>
        <w:outlineLvl w:val="1"/>
      </w:pPr>
      <w:bookmarkStart w:id="0" w:name="heading_86"/>
      <w:r>
        <w:rPr>
          <w:rFonts w:ascii="Arial" w:hAnsi="Arial" w:eastAsia="等线" w:cs="Arial"/>
          <w:b/>
          <w:sz w:val="32"/>
        </w:rPr>
        <w:t>一、业务增长价值：放大品牌全域曝光，提升线索产出，构建可迭代增长飞轮</w:t>
      </w:r>
      <w:bookmarkEnd w:id="0"/>
    </w:p>
    <w:p w14:paraId="20A3AC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业务增长是营销的终极目标，营销智脑带来的业务增长价值体现在全域品牌曝光放大、有效线索提质增量、构建闭环可迭代营销飞轮三方面。</w:t>
      </w:r>
    </w:p>
    <w:p w14:paraId="00C23E71">
      <w:pPr>
        <w:spacing w:before="300" w:after="120" w:line="288" w:lineRule="auto"/>
        <w:ind w:left="0"/>
        <w:jc w:val="left"/>
        <w:outlineLvl w:val="2"/>
      </w:pPr>
      <w:bookmarkStart w:id="1" w:name="heading_87"/>
      <w:r>
        <w:rPr>
          <w:rFonts w:ascii="Arial" w:hAnsi="Arial" w:eastAsia="等线" w:cs="Arial"/>
          <w:b/>
          <w:sz w:val="30"/>
        </w:rPr>
        <w:t>1. 全域放大品牌线上曝光，抢占短视频矩阵流量红利</w:t>
      </w:r>
      <w:bookmarkEnd w:id="1"/>
    </w:p>
    <w:p w14:paraId="03471D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一方面依靠批量产出图文、短视频物料，支撑抖音、快手、小红书、视频号、B 站矩阵账号高频更新，放大传统新媒体平台曝光；另一方面依托大量行业智能体产出适配 AI 检索的品牌内容，布局 AI 搜索时代品牌占位。多账号矩阵 + AI 品牌占位双向发力，拓宽品牌线上触达潜在客户的渠道，获取更多品牌曝光机会。</w:t>
      </w:r>
    </w:p>
    <w:p w14:paraId="1F079E35">
      <w:pPr>
        <w:spacing w:before="300" w:after="120" w:line="288" w:lineRule="auto"/>
        <w:ind w:left="0"/>
        <w:jc w:val="left"/>
        <w:outlineLvl w:val="2"/>
      </w:pPr>
      <w:bookmarkStart w:id="2" w:name="heading_88"/>
      <w:r>
        <w:rPr>
          <w:rFonts w:ascii="Arial" w:hAnsi="Arial" w:eastAsia="等线" w:cs="Arial"/>
          <w:b/>
          <w:sz w:val="30"/>
        </w:rPr>
        <w:t>2. 实现有效线索数量提升，改善线索整体质量</w:t>
      </w:r>
      <w:bookmarkEnd w:id="2"/>
    </w:p>
    <w:p w14:paraId="79DD9BE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内容矩阵持续输出种草内容吸引意向客户；借助多平台线索挖掘能力拓展客源；社媒智能运维承接咨询，线索自动打标签分级，高意向线索快速流转销售。同时平台数据分析识别高转化内容方向，引导资源向优质内容倾斜，实现线索数量增加，同时线索意向质量得到改善，为企业营收增长提供客源支撑。</w:t>
      </w:r>
    </w:p>
    <w:p w14:paraId="2ED523F6">
      <w:pPr>
        <w:spacing w:before="300" w:after="120" w:line="288" w:lineRule="auto"/>
        <w:ind w:left="0"/>
        <w:jc w:val="left"/>
        <w:outlineLvl w:val="2"/>
      </w:pPr>
      <w:bookmarkStart w:id="3" w:name="heading_89"/>
      <w:r>
        <w:rPr>
          <w:rFonts w:ascii="Arial" w:hAnsi="Arial" w:eastAsia="等线" w:cs="Arial"/>
          <w:b/>
          <w:sz w:val="30"/>
        </w:rPr>
        <w:t>3. 形成策划‑生产‑分发‑线索‑复盘‑优化完整增长闭环</w:t>
      </w:r>
      <w:bookmarkEnd w:id="3"/>
    </w:p>
    <w:p w14:paraId="02F50C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营销智脑打通营销全链路，每一轮营销活动的诊断、任务、物料、发布数据、线索数据全部沉淀在系统内。基于真实业务数据反哺下一轮选题策划与内容方向，告别过去 “凭感觉做营销”，形成数据驱动的可持续迭代增长飞轮，营销能力越用越强。</w:t>
      </w:r>
    </w:p>
    <w:p w14:paraId="5309E7D0">
      <w:pPr>
        <w:spacing w:before="320" w:after="120" w:line="288" w:lineRule="auto"/>
        <w:ind w:left="0"/>
        <w:jc w:val="left"/>
        <w:outlineLvl w:val="1"/>
      </w:pPr>
      <w:bookmarkStart w:id="4" w:name="heading_90"/>
      <w:r>
        <w:rPr>
          <w:rFonts w:ascii="Arial" w:hAnsi="Arial" w:eastAsia="等线" w:cs="Arial"/>
          <w:b/>
          <w:sz w:val="32"/>
        </w:rPr>
        <w:t>二、人力与投入成本优化价值：优化人力结构，降低综合工具投入，降低业务试错成本</w:t>
      </w:r>
      <w:bookmarkEnd w:id="4"/>
    </w:p>
    <w:p w14:paraId="39FDEF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降本不等于直接裁员，核心是优化成本结构，把预算更多投入高价值业务，体现在营销人力结构优化、软件工具综合成本下降、AI 营销业务试错成本降低三方面。</w:t>
      </w:r>
    </w:p>
    <w:p w14:paraId="5A6521B3">
      <w:pPr>
        <w:spacing w:before="300" w:after="120" w:line="288" w:lineRule="auto"/>
        <w:ind w:left="0"/>
        <w:jc w:val="left"/>
        <w:outlineLvl w:val="2"/>
      </w:pPr>
      <w:bookmarkStart w:id="5" w:name="heading_91"/>
      <w:r>
        <w:rPr>
          <w:rFonts w:ascii="Arial" w:hAnsi="Arial" w:eastAsia="等线" w:cs="Arial"/>
          <w:b/>
          <w:sz w:val="30"/>
        </w:rPr>
        <w:t>1. 优化营销人力结构，释放人员聚焦高价值业务</w:t>
      </w:r>
      <w:bookmarkEnd w:id="5"/>
    </w:p>
    <w:p w14:paraId="36C4EC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 承接选题初稿、脚本、海报、短视频制作、评论私信应答、线索初筛等大量重复执行类工作。市场人员不用耗费绝大多数时间在基础物料生产，更多精力投入营销策略设计、客户深度沟通、品牌创意等高价值工作。实现人员规模不一定缩减，但</w:t>
      </w:r>
      <w:r>
        <w:rPr>
          <w:rFonts w:ascii="Arial" w:hAnsi="Arial" w:eastAsia="等线" w:cs="Arial"/>
          <w:b/>
          <w:sz w:val="22"/>
        </w:rPr>
        <w:t>人均产出价值显著提升</w:t>
      </w:r>
      <w:r>
        <w:rPr>
          <w:rFonts w:ascii="Arial" w:hAnsi="Arial" w:eastAsia="等线" w:cs="Arial"/>
          <w:sz w:val="22"/>
        </w:rPr>
        <w:t>，优化整体营销人力投入产出比。</w:t>
      </w:r>
    </w:p>
    <w:p w14:paraId="23773675">
      <w:pPr>
        <w:spacing w:before="300" w:after="120" w:line="288" w:lineRule="auto"/>
        <w:ind w:left="0"/>
        <w:jc w:val="left"/>
        <w:outlineLvl w:val="2"/>
      </w:pPr>
      <w:bookmarkStart w:id="6" w:name="heading_92"/>
      <w:r>
        <w:rPr>
          <w:rFonts w:ascii="Arial" w:hAnsi="Arial" w:eastAsia="等线" w:cs="Arial"/>
          <w:b/>
          <w:sz w:val="30"/>
        </w:rPr>
        <w:t>2. 降低多套营销软件叠加采购的综合成本</w:t>
      </w:r>
      <w:bookmarkEnd w:id="6"/>
    </w:p>
    <w:p w14:paraId="229415E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过去企业分开采购文案 AI、AI 绘图、剪辑软件、矩阵发布系统、线索管理工具，多套 SaaS 叠加，年费总和很高。营销智脑 U6 一体化整合上述绝大多数能力，一套订阅即可覆盖营销内容生产、矩阵分发、线索管理、知识库；企业不再重复采购多款独立工具，降低软件采购、账号管理、多平台培训的综合开销。</w:t>
      </w:r>
    </w:p>
    <w:p w14:paraId="7D1432A9">
      <w:pPr>
        <w:spacing w:before="300" w:after="120" w:line="288" w:lineRule="auto"/>
        <w:ind w:left="0"/>
        <w:jc w:val="left"/>
        <w:outlineLvl w:val="2"/>
      </w:pPr>
      <w:bookmarkStart w:id="7" w:name="heading_93"/>
      <w:r>
        <w:rPr>
          <w:rFonts w:ascii="Arial" w:hAnsi="Arial" w:eastAsia="等线" w:cs="Arial"/>
          <w:b/>
          <w:sz w:val="30"/>
        </w:rPr>
        <w:t>3. 降低企业布局 AI 营销的业务试错成本</w:t>
      </w:r>
      <w:bookmarkEnd w:id="7"/>
    </w:p>
    <w:p w14:paraId="71A0668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平台内置大量开箱即用行业营销智能体模板，企业直接在预制模板基础上做业务微调，不用从零开始摸索 AI 营销如何落地；支持小范围部门试点验证效果，跑通业务流程之后，再向全市场部门扩大使用规模。避免大规模盲目投入，用可控成本探索 AI 矩阵营销新模式。</w:t>
      </w:r>
    </w:p>
    <w:p w14:paraId="204A2494">
      <w:pPr>
        <w:spacing w:before="320" w:after="120" w:line="288" w:lineRule="auto"/>
        <w:ind w:left="0"/>
        <w:jc w:val="left"/>
        <w:outlineLvl w:val="1"/>
      </w:pPr>
      <w:bookmarkStart w:id="8" w:name="heading_94"/>
      <w:r>
        <w:rPr>
          <w:rFonts w:ascii="Arial" w:hAnsi="Arial" w:eastAsia="等线" w:cs="Arial"/>
          <w:b/>
          <w:sz w:val="32"/>
        </w:rPr>
        <w:t>三、营销数字资产沉淀价值：把隐性营销经验，转变企业可控可继承数字资产</w:t>
      </w:r>
      <w:bookmarkEnd w:id="8"/>
    </w:p>
    <w:p w14:paraId="5E1535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很多企业营销核心能力掌握在少数骨干大脑中，属于隐性资产。营销智脑帮助企业将隐性能力转化为三类显性数字资产：物料素材资产、营销知识经验资产、营销业务数据资产。</w:t>
      </w:r>
    </w:p>
    <w:p w14:paraId="6D15E054">
      <w:pPr>
        <w:spacing w:before="300" w:after="120" w:line="288" w:lineRule="auto"/>
        <w:ind w:left="0"/>
        <w:jc w:val="left"/>
        <w:outlineLvl w:val="2"/>
      </w:pPr>
      <w:bookmarkStart w:id="9" w:name="heading_95"/>
      <w:r>
        <w:rPr>
          <w:rFonts w:ascii="Arial" w:hAnsi="Arial" w:eastAsia="等线" w:cs="Arial"/>
          <w:b/>
          <w:sz w:val="30"/>
        </w:rPr>
        <w:t>1. 沉淀完整营销物料素材资产</w:t>
      </w:r>
      <w:bookmarkEnd w:id="9"/>
    </w:p>
    <w:p w14:paraId="4A5BFA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素材库保存原始图片、音频、视频素材；作品库归档全部对外发布过的文案、海报、短视频，统一标签分类管理。过往爆款营销物料可以随时检索、二次改编复用，不需要重复从零创作。所有物料资产归属企业，不会因为员工离职丢失。</w:t>
      </w:r>
    </w:p>
    <w:p w14:paraId="0E6A3851">
      <w:pPr>
        <w:spacing w:before="300" w:after="120" w:line="288" w:lineRule="auto"/>
        <w:ind w:left="0"/>
        <w:jc w:val="left"/>
        <w:outlineLvl w:val="2"/>
      </w:pPr>
      <w:bookmarkStart w:id="10" w:name="heading_96"/>
      <w:r>
        <w:rPr>
          <w:rFonts w:ascii="Arial" w:hAnsi="Arial" w:eastAsia="等线" w:cs="Arial"/>
          <w:b/>
          <w:sz w:val="30"/>
        </w:rPr>
        <w:t>2. 沉淀可复用的营销知识经验资产</w:t>
      </w:r>
      <w:bookmarkEnd w:id="10"/>
    </w:p>
    <w:p w14:paraId="4D1251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产品卖点、销冠沟通话术、爆款拆解、客户 FAQ、活动方案存入营销 RAG 知识库，形成企业专属营销知识资产。新入职市场、运营人员，可以直接调取成熟经验开展业务，企业营销能力不再绑定个别核心员工，实现营销经验可沉淀、可继承、可迭代。</w:t>
      </w:r>
    </w:p>
    <w:p w14:paraId="522626B8">
      <w:pPr>
        <w:spacing w:before="300" w:after="120" w:line="288" w:lineRule="auto"/>
        <w:ind w:left="0"/>
        <w:jc w:val="left"/>
        <w:outlineLvl w:val="2"/>
      </w:pPr>
      <w:bookmarkStart w:id="11" w:name="heading_97"/>
      <w:r>
        <w:rPr>
          <w:rFonts w:ascii="Arial" w:hAnsi="Arial" w:eastAsia="等线" w:cs="Arial"/>
          <w:b/>
          <w:sz w:val="30"/>
        </w:rPr>
        <w:t>3. 沉淀全链路营销业务数据资产</w:t>
      </w:r>
      <w:bookmarkEnd w:id="11"/>
    </w:p>
    <w:p w14:paraId="669995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平台归集诊断记录、任务记录、内容发布数据、各平台曝光互动数据、线索咨询数据，形成企业专属营销数据库。长期积累之后，可以分析自身内容趋势、客户画像、线索来源变化，为中长期营销战略制定提供真实的数据基础，告别单纯依靠经验拍脑袋做决策。</w:t>
      </w:r>
    </w:p>
    <w:p w14:paraId="5CC6D293">
      <w:pPr>
        <w:spacing w:before="320" w:after="120" w:line="288" w:lineRule="auto"/>
        <w:ind w:left="0"/>
        <w:jc w:val="left"/>
        <w:outlineLvl w:val="1"/>
      </w:pPr>
      <w:bookmarkStart w:id="12" w:name="heading_98"/>
      <w:r>
        <w:rPr>
          <w:rFonts w:ascii="Arial" w:hAnsi="Arial" w:eastAsia="等线" w:cs="Arial"/>
          <w:b/>
          <w:sz w:val="32"/>
        </w:rPr>
        <w:t>四、营销组织作业模式革新价值：重塑市场部工作方式，实现思维迭代、人才培养、跨部门协同</w:t>
      </w:r>
      <w:bookmarkEnd w:id="12"/>
    </w:p>
    <w:p w14:paraId="6A2C707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 AI 营销智脑U6 带来的改变不只是工具层面，更深层次推动营销组织作业模式升级，分为营销团队思维模式迭代、内部复合型营销人才培育、打通营销跨部门协同效率提升三方面。</w:t>
      </w:r>
    </w:p>
    <w:p w14:paraId="5C8C7E5B">
      <w:pPr>
        <w:spacing w:before="300" w:after="120" w:line="288" w:lineRule="auto"/>
        <w:ind w:left="0"/>
        <w:jc w:val="left"/>
        <w:outlineLvl w:val="2"/>
      </w:pPr>
      <w:bookmarkStart w:id="13" w:name="heading_99"/>
      <w:r>
        <w:rPr>
          <w:rFonts w:ascii="Arial" w:hAnsi="Arial" w:eastAsia="等线" w:cs="Arial"/>
          <w:b/>
          <w:sz w:val="30"/>
        </w:rPr>
        <w:t>1. 推动营销团队建立 AI 原生营销作业思维</w:t>
      </w:r>
      <w:bookmarkEnd w:id="13"/>
    </w:p>
    <w:p w14:paraId="033911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帮助团队跳出 “只用 AI 写文案” 的浅层用法，建立 AI 原生营销思维：学会利用 AI 做营销诊断、拆解任务、搭建私有营销知识库、设计自动化营销工作流，把 AI 嵌入营销全业务链路，而不是仅仅当成辅助写稿工具，重塑市场部门整套作业逻辑。</w:t>
      </w:r>
    </w:p>
    <w:p w14:paraId="48C09EF2">
      <w:pPr>
        <w:spacing w:before="300" w:after="120" w:line="288" w:lineRule="auto"/>
        <w:ind w:left="0"/>
        <w:jc w:val="left"/>
        <w:outlineLvl w:val="2"/>
      </w:pPr>
      <w:bookmarkStart w:id="14" w:name="heading_100"/>
      <w:r>
        <w:rPr>
          <w:rFonts w:ascii="Arial" w:hAnsi="Arial" w:eastAsia="等线" w:cs="Arial"/>
          <w:b/>
          <w:sz w:val="30"/>
        </w:rPr>
        <w:t>2. 赋能企业内部培养懂业务的 AI 营销复合型人才</w:t>
      </w:r>
      <w:bookmarkEnd w:id="14"/>
    </w:p>
    <w:p w14:paraId="23668E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依托平台配套的培训、训练营服务，教会市场人员搭建营销知识库、调试营销智能体、配置自动化营销工作流。在企业内部培养既懂本行业营销业务，又懂 AI 平台实操的复合型人才，减少企业对外界服务商的过度依赖，企业掌握 AI 营销自主可控能力。</w:t>
      </w:r>
    </w:p>
    <w:p w14:paraId="7D96B484">
      <w:pPr>
        <w:spacing w:before="300" w:after="120" w:line="288" w:lineRule="auto"/>
        <w:ind w:left="0"/>
        <w:jc w:val="left"/>
        <w:outlineLvl w:val="2"/>
      </w:pPr>
      <w:bookmarkStart w:id="15" w:name="heading_101"/>
      <w:r>
        <w:rPr>
          <w:rFonts w:ascii="Arial" w:hAnsi="Arial" w:eastAsia="等线" w:cs="Arial"/>
          <w:b/>
          <w:sz w:val="30"/>
        </w:rPr>
        <w:t>3. 打通营销‑销售部门壁垒，提升跨部门业务协同效率</w:t>
      </w:r>
      <w:bookmarkEnd w:id="15"/>
    </w:p>
    <w:p w14:paraId="1F8B50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营销产出线索附带完整客户交互记录同步给到销售；销售跟进后的转化结果数据可以回传到营销智脑平台。营销团队可以看到自己产出线索真实转化效果；销售拿到线索可以掌握客户咨询背景，消除营销、销售之间信息孤岛，提升两个部门协同效率。</w:t>
      </w:r>
    </w:p>
    <w:p w14:paraId="34D4C05F">
      <w:pPr>
        <w:spacing w:before="320" w:after="120" w:line="288" w:lineRule="auto"/>
        <w:ind w:left="0"/>
        <w:jc w:val="left"/>
        <w:outlineLvl w:val="1"/>
      </w:pPr>
      <w:bookmarkStart w:id="16" w:name="heading_102"/>
      <w:r>
        <w:rPr>
          <w:rFonts w:ascii="Arial" w:hAnsi="Arial" w:eastAsia="等线" w:cs="Arial"/>
          <w:b/>
          <w:sz w:val="32"/>
        </w:rPr>
        <w:t>五、行业普惠与长期服务生态价值：不止交付软件，提供方法论、案例、陪伴式成长</w:t>
      </w:r>
      <w:bookmarkEnd w:id="16"/>
    </w:p>
    <w:p w14:paraId="56E25D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 AI 营销智脑区别于市面上很多厂商只售卖软件，知行学依托 “研究</w:t>
      </w:r>
      <w:r>
        <w:rPr>
          <w:rFonts w:hint="eastAsia" w:ascii="Arial" w:hAnsi="Arial" w:eastAsia="等线" w:cs="Arial"/>
          <w:sz w:val="22"/>
          <w:lang w:eastAsia="zh-CN"/>
        </w:rPr>
        <w:t>、</w:t>
      </w:r>
      <w:r>
        <w:rPr>
          <w:rFonts w:ascii="Arial" w:hAnsi="Arial" w:eastAsia="等线" w:cs="Arial"/>
          <w:sz w:val="22"/>
        </w:rPr>
        <w:t>培训</w:t>
      </w:r>
      <w:r>
        <w:rPr>
          <w:rFonts w:hint="eastAsia" w:ascii="Arial" w:hAnsi="Arial" w:eastAsia="等线" w:cs="Arial"/>
          <w:sz w:val="22"/>
          <w:lang w:eastAsia="zh-CN"/>
        </w:rPr>
        <w:t>、</w:t>
      </w:r>
      <w:r>
        <w:rPr>
          <w:rFonts w:ascii="Arial" w:hAnsi="Arial" w:eastAsia="等线" w:cs="Arial"/>
          <w:sz w:val="22"/>
        </w:rPr>
        <w:t>咨询</w:t>
      </w:r>
      <w:r>
        <w:rPr>
          <w:rFonts w:hint="eastAsia" w:ascii="Arial" w:hAnsi="Arial" w:eastAsia="等线" w:cs="Arial"/>
          <w:sz w:val="22"/>
          <w:lang w:eastAsia="zh-CN"/>
        </w:rPr>
        <w:t>、</w:t>
      </w:r>
      <w:r>
        <w:rPr>
          <w:rFonts w:ascii="Arial" w:hAnsi="Arial" w:eastAsia="等线" w:cs="Arial"/>
          <w:sz w:val="22"/>
        </w:rPr>
        <w:t>软件</w:t>
      </w:r>
      <w:r>
        <w:rPr>
          <w:rFonts w:hint="eastAsia" w:ascii="Arial" w:hAnsi="Arial" w:eastAsia="等线" w:cs="Arial"/>
          <w:sz w:val="22"/>
          <w:lang w:eastAsia="zh-CN"/>
        </w:rPr>
        <w:t>、</w:t>
      </w:r>
      <w:r>
        <w:rPr>
          <w:rFonts w:ascii="Arial" w:hAnsi="Arial" w:eastAsia="等线" w:cs="Arial"/>
          <w:sz w:val="22"/>
        </w:rPr>
        <w:t>辅导” 五位一体</w:t>
      </w:r>
      <w:r>
        <w:rPr>
          <w:rFonts w:hint="eastAsia" w:ascii="Arial" w:hAnsi="Arial" w:eastAsia="等线" w:cs="Arial"/>
          <w:sz w:val="22"/>
          <w:lang w:val="en-US" w:eastAsia="zh-CN"/>
        </w:rPr>
        <w:t>的</w:t>
      </w:r>
      <w:r>
        <w:rPr>
          <w:rFonts w:ascii="Arial" w:hAnsi="Arial" w:eastAsia="等线" w:cs="Arial"/>
          <w:sz w:val="22"/>
        </w:rPr>
        <w:t>生态</w:t>
      </w:r>
      <w:r>
        <w:rPr>
          <w:rFonts w:hint="eastAsia" w:ascii="Arial" w:hAnsi="Arial" w:eastAsia="等线" w:cs="Arial"/>
          <w:sz w:val="22"/>
          <w:lang w:val="en-US" w:eastAsia="zh-CN"/>
        </w:rPr>
        <w:t>服务</w:t>
      </w:r>
      <w:r>
        <w:rPr>
          <w:rFonts w:ascii="Arial" w:hAnsi="Arial" w:eastAsia="等线" w:cs="Arial"/>
          <w:sz w:val="22"/>
        </w:rPr>
        <w:t>，带来前沿方法论参考、全流程落地陪伴、行业标杆案例参考三类长期价值。</w:t>
      </w:r>
    </w:p>
    <w:p w14:paraId="77C146A9">
      <w:pPr>
        <w:spacing w:before="300" w:after="120" w:line="288" w:lineRule="auto"/>
        <w:ind w:left="0"/>
        <w:jc w:val="left"/>
        <w:outlineLvl w:val="2"/>
      </w:pPr>
      <w:bookmarkStart w:id="17" w:name="heading_103"/>
      <w:r>
        <w:rPr>
          <w:rFonts w:ascii="Arial" w:hAnsi="Arial" w:eastAsia="等线" w:cs="Arial"/>
          <w:b/>
          <w:sz w:val="30"/>
        </w:rPr>
        <w:t>1. 输出完整 AI 矩阵营销方法论，给到企业理论框架</w:t>
      </w:r>
      <w:bookmarkEnd w:id="17"/>
    </w:p>
    <w:p w14:paraId="27D99A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 AI 智能体研究院输出矩阵内容营销、营销知识库搭建、数字员工工作流设计、AIGEO 品牌占位等原创方法论。企业采购产品不只是拿到软件操作功能，同时获得一整套 AI 营销顶层思路，指导整体营销规划，不局限零散功能点的使用。</w:t>
      </w:r>
    </w:p>
    <w:p w14:paraId="0DD48573">
      <w:pPr>
        <w:spacing w:before="300" w:after="120" w:line="288" w:lineRule="auto"/>
        <w:ind w:left="0"/>
        <w:jc w:val="left"/>
        <w:outlineLvl w:val="2"/>
      </w:pPr>
      <w:bookmarkStart w:id="18" w:name="heading_104"/>
      <w:r>
        <w:rPr>
          <w:rFonts w:ascii="Arial" w:hAnsi="Arial" w:eastAsia="等线" w:cs="Arial"/>
          <w:b/>
          <w:sz w:val="30"/>
        </w:rPr>
        <w:t>2. 提供从诊断到落地的全流程陪伴式辅导</w:t>
      </w:r>
      <w:bookmarkEnd w:id="18"/>
    </w:p>
    <w:p w14:paraId="0106B1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从前期企业营销现状诊断，到知识库搭建、智能体调试、试点场景落地，再到后期持续迭代优化，依靠顾问、训练营、私董会持续陪伴企业，解决实操过程中遇到各类难题，避免软件采购之后闲置浪费，真正将软件能力转化为业务结果。</w:t>
      </w:r>
    </w:p>
    <w:p w14:paraId="03D1C7DE">
      <w:pPr>
        <w:spacing w:before="300" w:after="120" w:line="288" w:lineRule="auto"/>
        <w:ind w:left="0"/>
        <w:jc w:val="left"/>
        <w:outlineLvl w:val="2"/>
      </w:pPr>
      <w:bookmarkStart w:id="19" w:name="heading_105"/>
      <w:r>
        <w:rPr>
          <w:rFonts w:ascii="Arial" w:hAnsi="Arial" w:eastAsia="等线" w:cs="Arial"/>
          <w:b/>
          <w:sz w:val="30"/>
        </w:rPr>
        <w:t>3. 共享大量跨行业标杆实践案例，降低企业决策成本</w:t>
      </w:r>
      <w:bookmarkEnd w:id="19"/>
    </w:p>
    <w:p w14:paraId="5D3A95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产品沉淀制造、零售连锁、银行保险、教育、政务大量真实落地案例。企业可以借鉴同行业已经跑通的 AI 矩阵营销实践，参考别人成功与踩坑经验，少走弯路，降低自身探索 AI 营销模式的成本；同时可以加入数字化转型传习社社群，与同行企业交流营销数字化实践。</w:t>
      </w:r>
    </w:p>
    <w:p w14:paraId="06D14AB3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综上</w:t>
      </w:r>
      <w:r>
        <w:rPr>
          <w:rFonts w:hint="eastAsia" w:ascii="Arial" w:hAnsi="Arial" w:eastAsia="等线" w:cs="Arial"/>
          <w:sz w:val="22"/>
          <w:lang w:val="en-US" w:eastAsia="zh-CN"/>
        </w:rPr>
        <w:t>所述</w:t>
      </w:r>
      <w:r>
        <w:rPr>
          <w:rFonts w:ascii="Arial" w:hAnsi="Arial" w:eastAsia="等线" w:cs="Arial"/>
          <w:sz w:val="22"/>
        </w:rPr>
        <w:t>，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AI智能体首席顾问、数字化转型导师坚鹏认为：</w:t>
      </w:r>
      <w:r>
        <w:rPr>
          <w:rFonts w:ascii="Arial" w:hAnsi="Arial" w:eastAsia="等线" w:cs="Arial"/>
          <w:sz w:val="22"/>
        </w:rPr>
        <w:t>深圳知行学 AI 营销智脑 U6 的价值是多层次立体化的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hint="eastAsia" w:ascii="Arial" w:hAnsi="Arial" w:eastAsia="等线" w:cs="Arial"/>
          <w:sz w:val="22"/>
          <w:lang w:val="en-US" w:eastAsia="zh-CN"/>
        </w:rPr>
        <w:t>包括</w:t>
      </w:r>
      <w:r>
        <w:rPr>
          <w:rFonts w:ascii="Arial" w:hAnsi="Arial" w:eastAsia="等线" w:cs="Arial"/>
          <w:sz w:val="22"/>
        </w:rPr>
        <w:t>业务层面助力品牌全域曝光、线索提质增量，构建数据驱动的增长飞轮；成本层面优化人力产出结构，降低软件采购与试错成本；资产层面沉淀物料、知识、数据三类企业营销数字资产；组织层面推动营销团队思维迭代，培育复合型人才，改善营销销售跨部门协同；</w:t>
      </w:r>
      <w:r>
        <w:rPr>
          <w:rFonts w:hint="eastAsia" w:ascii="Arial" w:hAnsi="Arial" w:eastAsia="等线" w:cs="Arial"/>
          <w:sz w:val="22"/>
          <w:lang w:val="en-US" w:eastAsia="zh-CN"/>
        </w:rPr>
        <w:t>生态层面</w:t>
      </w:r>
      <w:r>
        <w:rPr>
          <w:rFonts w:ascii="Arial" w:hAnsi="Arial" w:eastAsia="等线" w:cs="Arial"/>
          <w:sz w:val="22"/>
        </w:rPr>
        <w:t>叠加五位一体服务带来方法论、落地陪伴、行业案例参考</w:t>
      </w:r>
      <w:r>
        <w:rPr>
          <w:rFonts w:hint="eastAsia" w:ascii="Arial" w:hAnsi="Arial" w:eastAsia="等线" w:cs="Arial"/>
          <w:sz w:val="22"/>
          <w:lang w:val="en-US" w:eastAsia="zh-CN"/>
        </w:rPr>
        <w:t>等五大价值</w:t>
      </w:r>
      <w:r>
        <w:rPr>
          <w:rFonts w:ascii="Arial" w:hAnsi="Arial" w:eastAsia="等线" w:cs="Arial"/>
          <w:sz w:val="22"/>
        </w:rPr>
        <w:t>。它不是一款简单 AIGC 内容生成工具，而是一套完整企业 AI 营销增长解决方案，助力企业在流量内卷环境下构建营销差异化竞争优势。</w:t>
      </w:r>
    </w:p>
    <w:p w14:paraId="41AA0333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266690" cy="2962910"/>
            <wp:effectExtent l="0" t="0" r="3810" b="8890"/>
            <wp:docPr id="1" name="图片 1" descr="16-深圳知行学AI营销智脑U6介绍2.8-20260628 -坚鹏_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-深圳知行学AI营销智脑U6介绍2.8-20260628 -坚鹏_6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7D6BC">
      <w:pPr>
        <w:rPr>
          <w:rFonts w:ascii="Arial" w:hAnsi="Arial" w:eastAsia="等线" w:cs="Arial"/>
          <w:sz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2C41EF"/>
    <w:rsid w:val="0C624743"/>
    <w:rsid w:val="0EDB69FF"/>
    <w:rsid w:val="11800151"/>
    <w:rsid w:val="292C41EF"/>
    <w:rsid w:val="3A690764"/>
    <w:rsid w:val="3F1735F3"/>
    <w:rsid w:val="5CD526CC"/>
    <w:rsid w:val="694E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3029</Words>
  <Characters>3094</Characters>
  <Lines>0</Lines>
  <Paragraphs>0</Paragraphs>
  <TotalTime>0</TotalTime>
  <ScaleCrop>false</ScaleCrop>
  <LinksUpToDate>false</LinksUpToDate>
  <CharactersWithSpaces>3188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2026-08-19T15:43:00Z</dcterms:created>
  <dc:creator>数字化转型导师坚鹏</dc:creator>
  <cp:lastModifiedBy>数字化转型导师坚鹏</cp:lastModifiedBy>
  <dcterms:modified xsi:type="dcterms:W3CDTF">2026-09-02T11:51:23Z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57515CB2A7A2409A8BAAA56242D7B87E_11</vt:lpwstr>
  </property>
  <property fmtid="{D5CDD505-2E9C-101B-9397-08002B2CF9AE}" pid="4" name="KSOTemplateDocerSaveRecord">
    <vt:lpwstr>eyJoZGlkIjoiMzEwNTM5NzYwMDRjMzkwZTVkZjY2ODkwMGIxNGU0OTUiLCJ1c2VySWQiOiIxOTU1ODQzNyJ9</vt:lpwstr>
  </property>
</Properties>
</file>