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B273B8">
      <w:pPr>
        <w:spacing w:before="480" w:after="480" w:line="288" w:lineRule="auto"/>
        <w:ind w:left="0"/>
        <w:rPr>
          <w:sz w:val="13"/>
          <w:szCs w:val="15"/>
        </w:rPr>
      </w:pPr>
      <w:r>
        <w:rPr>
          <w:rFonts w:ascii="Arial" w:hAnsi="Arial" w:eastAsia="等线" w:cs="Arial"/>
          <w:b/>
          <w:sz w:val="32"/>
          <w:szCs w:val="15"/>
        </w:rPr>
        <w:t>适配多行业实战：深圳知行学AI智能体五位一体模式，针对性解决各行业引流、增效、盈利痛点，落地即见成效</w:t>
      </w:r>
    </w:p>
    <w:p w14:paraId="5AB56A0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不同行业有不同的业务逻辑、核心痛点，无论是制造业的增效降本、零售业的引流获客，还是服务业的体验升级、金融业的精准服务，引流、增效、盈利始终是所有行业的共性诉求。但多数AI赋能方案“一刀切”，缺乏行业针对性，导致方案与业务脱节、落地困难，无法真正解决行业核心痛点，让客户陷入“投入无回报”的困境。</w:t>
      </w:r>
    </w:p>
    <w:p w14:paraId="126D499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深耕AI智能体领域，立足多行业实战需求，以“AI智能体研究、咨询、软件、培训、辅导”五位一体服务模式为核心，整合前期降本增效、拓客增收、盈利提升等全场景成果，联动AI核心智脑、AI营销智脑等核心产品，针对不同行业的引流、增效、盈利痛点，提供定制化、可落地的解决方案。五大模块协同发力，精准适配各行业实战场景，让方案落地即见成效，助力各行业突破发展瓶颈、实现高质量增长。</w:t>
      </w:r>
    </w:p>
    <w:p w14:paraId="2B15AF3B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一：行业深度研究——精准拆解痛点，筑牢适配根基</w:t>
      </w:r>
      <w:bookmarkEnd w:id="0"/>
    </w:p>
    <w:p w14:paraId="304315F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适配多行业实战的核心前提，是摸清各行业的业务特性、痛点差异与核心需求。AI智能体研究作为五位一体的根基，聚焦“行业深耕、痛点拆解、需求匹配”，为后续定制化赋能筑牢基础，确保方案不脱离行业实战、不盲目落地。</w:t>
      </w:r>
    </w:p>
    <w:p w14:paraId="06B54CDA">
      <w:pPr>
        <w:spacing w:before="300" w:after="120" w:line="288" w:lineRule="auto"/>
        <w:ind w:left="0"/>
        <w:jc w:val="left"/>
        <w:outlineLvl w:val="2"/>
      </w:pPr>
      <w:bookmarkStart w:id="1" w:name="heading_1"/>
      <w:r>
        <w:rPr>
          <w:rFonts w:ascii="Arial" w:hAnsi="Arial" w:eastAsia="等线" w:cs="Arial"/>
          <w:b/>
          <w:sz w:val="30"/>
        </w:rPr>
        <w:t>1：多行业深耕，吃透业务核心逻辑</w:t>
      </w:r>
      <w:bookmarkEnd w:id="1"/>
    </w:p>
    <w:p w14:paraId="32868E7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研究团队深耕制造业、零售业、服务业、金融业、互联网等多主流行业，深入调研各行业的业务流程、盈利模式、监管要求与发展痛点，吃透不同行业的核心逻辑——如制造业侧重生产效率与成本管控，零售业侧重引流获客与复购转化，服务业侧重客户体验与服务效率。拒绝“跨行业照搬”，确保每一项研究成果都贴合行业实战需求。</w:t>
      </w:r>
    </w:p>
    <w:p w14:paraId="6C714CB4">
      <w:pPr>
        <w:spacing w:before="300" w:after="120" w:line="288" w:lineRule="auto"/>
        <w:ind w:left="0"/>
        <w:jc w:val="left"/>
        <w:outlineLvl w:val="2"/>
      </w:pPr>
      <w:bookmarkStart w:id="2" w:name="heading_2"/>
      <w:r>
        <w:rPr>
          <w:rFonts w:ascii="Arial" w:hAnsi="Arial" w:eastAsia="等线" w:cs="Arial"/>
          <w:b/>
          <w:sz w:val="30"/>
        </w:rPr>
        <w:t>2：痛点分层拆解，聚焦核心诉求</w:t>
      </w:r>
      <w:bookmarkEnd w:id="2"/>
    </w:p>
    <w:p w14:paraId="1A70AD5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针对各行业，研究团队分层拆解引流、增效、盈利三大核心痛点，区分“共性痛点、行业个性痛点”“紧急痛点、长期痛点”。例如，所有行业均面临“盈利难”的共性痛点，但制造业痛点集中在生产低效、成本过高，零售业集中在获客成本高、转化低，服务业集中在人力冗余、服务不均。精准拆解痛点，为后续针对性赋能找准发力点。</w:t>
      </w:r>
    </w:p>
    <w:p w14:paraId="4450AACD">
      <w:pPr>
        <w:spacing w:before="300" w:after="120" w:line="288" w:lineRule="auto"/>
        <w:ind w:left="0"/>
        <w:jc w:val="left"/>
        <w:outlineLvl w:val="2"/>
      </w:pPr>
      <w:bookmarkStart w:id="3" w:name="heading_3"/>
      <w:r>
        <w:rPr>
          <w:rFonts w:ascii="Arial" w:hAnsi="Arial" w:eastAsia="等线" w:cs="Arial"/>
          <w:b/>
          <w:sz w:val="30"/>
        </w:rPr>
        <w:t>3：需求精准匹配，衔接实战落地</w:t>
      </w:r>
      <w:bookmarkEnd w:id="3"/>
    </w:p>
    <w:p w14:paraId="4FB99DC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结合行业痛点与业务逻辑，研究团队梳理各行业的核心需求，形成“行业需求清单”，并联动咨询、软件模块，明确不同行业适配的AI技术、工具与落地路径。例如，零售业适配AI营销智脑、AIGEO抢位智脑，聚焦引流获客；制造业适配AI核心智脑，聚焦生产流程优化。确保研究成果直接衔接实战，避免“研究与落地脱节”，为方案适配奠定基础。</w:t>
      </w:r>
    </w:p>
    <w:p w14:paraId="06E31841">
      <w:pPr>
        <w:spacing w:before="320" w:after="120" w:line="288" w:lineRule="auto"/>
        <w:ind w:left="0"/>
        <w:jc w:val="left"/>
        <w:outlineLvl w:val="1"/>
      </w:pPr>
      <w:bookmarkStart w:id="4" w:name="heading_4"/>
      <w:r>
        <w:rPr>
          <w:rFonts w:ascii="Arial" w:hAnsi="Arial" w:eastAsia="等线" w:cs="Arial"/>
          <w:b/>
          <w:sz w:val="32"/>
        </w:rPr>
        <w:t>二：行业定制咨询——靶向制定方案，贴合实战场景</w:t>
      </w:r>
      <w:bookmarkEnd w:id="4"/>
    </w:p>
    <w:p w14:paraId="29EBE8C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精准拆解痛点后，针对性的定制方案是落地的关键。AI智能体咨询聚焦“行业定制、实战导向、可落地性”，摒弃模板化方案，为各行业量身打造引流、增效、盈利一体化解决方案，确保方案贴合行业实战、拿来即用。</w:t>
      </w:r>
    </w:p>
    <w:p w14:paraId="58C24760">
      <w:pPr>
        <w:spacing w:before="300" w:after="120" w:line="288" w:lineRule="auto"/>
        <w:ind w:left="0"/>
        <w:jc w:val="left"/>
        <w:outlineLvl w:val="2"/>
      </w:pPr>
      <w:bookmarkStart w:id="5" w:name="heading_5"/>
      <w:r>
        <w:rPr>
          <w:rFonts w:ascii="Arial" w:hAnsi="Arial" w:eastAsia="等线" w:cs="Arial"/>
          <w:b/>
          <w:sz w:val="30"/>
        </w:rPr>
        <w:t>1：行业专属定制，拒绝模板堆砌</w:t>
      </w:r>
      <w:bookmarkEnd w:id="5"/>
    </w:p>
    <w:p w14:paraId="2AB170A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咨询团队联动研究团队，依托行业研究成果，为各行业制定专属咨询方案。针对制造业，制定“AI+生产增效”方案，聚焦流程优化、成本管控；针对零售业，制定“AI+全渠道引流”方案，聚焦多平台获客、复购转化；针对服务业，制定“AI+服务升级”方案，聚焦人力优化、体验提升。每一套方案都贴合行业业务场景，确保可落地、有成效。</w:t>
      </w:r>
    </w:p>
    <w:p w14:paraId="3BD61A38">
      <w:pPr>
        <w:spacing w:before="300" w:after="120" w:line="288" w:lineRule="auto"/>
        <w:ind w:left="0"/>
        <w:jc w:val="left"/>
        <w:outlineLvl w:val="2"/>
      </w:pPr>
      <w:bookmarkStart w:id="6" w:name="heading_6"/>
      <w:r>
        <w:rPr>
          <w:rFonts w:ascii="Arial" w:hAnsi="Arial" w:eastAsia="等线" w:cs="Arial"/>
          <w:b/>
          <w:sz w:val="30"/>
        </w:rPr>
        <w:t>2：聚焦三大痛点，靶向破解难题</w:t>
      </w:r>
      <w:bookmarkEnd w:id="6"/>
    </w:p>
    <w:p w14:paraId="7C8C592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方案始终围绕“引流、增效、盈利”三大核心，针对性破解各行业痛点。例如，针对金融业“精准引流难、服务效率低”的痛点，方案明确AI工具适配、客户分层跟进、服务流程优化等具体措施；针对制造业“生产低效、成本高”的痛点，方案明确生产流程精简、AI替代冗余人力、能耗优化等路径，靶向发力、直击核心。</w:t>
      </w:r>
    </w:p>
    <w:p w14:paraId="6DAA2138">
      <w:pPr>
        <w:spacing w:before="300" w:after="120" w:line="288" w:lineRule="auto"/>
        <w:ind w:left="0"/>
        <w:jc w:val="left"/>
        <w:outlineLvl w:val="2"/>
      </w:pPr>
      <w:bookmarkStart w:id="7" w:name="heading_7"/>
      <w:r>
        <w:rPr>
          <w:rFonts w:ascii="Arial" w:hAnsi="Arial" w:eastAsia="等线" w:cs="Arial"/>
          <w:b/>
          <w:sz w:val="30"/>
        </w:rPr>
        <w:t>3：实战化规划，明确落地细节</w:t>
      </w:r>
      <w:bookmarkEnd w:id="7"/>
    </w:p>
    <w:p w14:paraId="007F422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咨询方案不仅明确核心方向，更细化落地细节，包括工具选型、执行步骤、责任分工、时间节点、效果评估标准。例如，为零售企业制定的引流方案，明确AI营销智脑的使用场景、内容产出节奏、多渠道分发路径，甚至细化员工操作规范，让客户无需自行摸索，按照方案即可快速落地，避免“方案模糊、无法执行”的弯路。</w:t>
      </w:r>
    </w:p>
    <w:p w14:paraId="262735DE">
      <w:pPr>
        <w:spacing w:before="320" w:after="120" w:line="288" w:lineRule="auto"/>
        <w:ind w:left="0"/>
        <w:jc w:val="left"/>
        <w:outlineLvl w:val="1"/>
      </w:pPr>
      <w:bookmarkStart w:id="8" w:name="heading_8"/>
      <w:r>
        <w:rPr>
          <w:rFonts w:ascii="Arial" w:hAnsi="Arial" w:eastAsia="等线" w:cs="Arial"/>
          <w:b/>
          <w:sz w:val="32"/>
        </w:rPr>
        <w:t>三：行业适配软件——工具精准赋能，提升实战效率</w:t>
      </w:r>
      <w:bookmarkEnd w:id="8"/>
    </w:p>
    <w:p w14:paraId="0EC778C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方案落地的核心载体是AI工具，工具适配与否，直接决定落地效果。AI智能体软件矩阵聚焦“行业适配、易用高效、实战导向”，针对不同行业的痛点与需求，优化产品功能、定制适配模式，让工具成为各行业破解痛点、提升效率的“实战利器”。</w:t>
      </w:r>
    </w:p>
    <w:p w14:paraId="7469B008">
      <w:pPr>
        <w:spacing w:before="300" w:after="120" w:line="288" w:lineRule="auto"/>
        <w:ind w:left="0"/>
        <w:jc w:val="left"/>
        <w:outlineLvl w:val="2"/>
      </w:pPr>
      <w:bookmarkStart w:id="9" w:name="heading_9"/>
      <w:r>
        <w:rPr>
          <w:rFonts w:ascii="Arial" w:hAnsi="Arial" w:eastAsia="等线" w:cs="Arial"/>
          <w:b/>
          <w:sz w:val="30"/>
        </w:rPr>
        <w:t>1：功能定制适配，贴合行业需求</w:t>
      </w:r>
      <w:bookmarkEnd w:id="9"/>
    </w:p>
    <w:p w14:paraId="16DE731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软件矩阵涵盖15款核心产品，可根据各行业需求定制化适配功能。例如，为制造业优化AI核心智脑的视觉检测、流程自动化功能，适配生产巡检、数据统计等场景；为零售业优化AI营销智脑的内容批量生成、裂变引流功能，适配短视频获客、私域运营等场景；为金融业优化AI核心智脑的客户分层、精准推送功能，适配精准服务、合规管控等场景，确保工具与行业需求高度契合。</w:t>
      </w:r>
    </w:p>
    <w:p w14:paraId="0D365D7C">
      <w:pPr>
        <w:spacing w:before="300" w:after="120" w:line="288" w:lineRule="auto"/>
        <w:ind w:left="0"/>
        <w:jc w:val="left"/>
        <w:outlineLvl w:val="2"/>
      </w:pPr>
      <w:bookmarkStart w:id="10" w:name="heading_10"/>
      <w:r>
        <w:rPr>
          <w:rFonts w:ascii="Arial" w:hAnsi="Arial" w:eastAsia="等线" w:cs="Arial"/>
          <w:b/>
          <w:sz w:val="30"/>
        </w:rPr>
        <w:t>2：易用便捷，降低实战落地门槛</w:t>
      </w:r>
      <w:bookmarkEnd w:id="10"/>
    </w:p>
    <w:p w14:paraId="496DA8E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针对各行业不同岗位员工的能力差异，所有软件均采用“零代码、易操作”设计，无需专业技术团队，基层员工经过简单培训即可熟练操作。同时，软件可无缝衔接各行业现有业务系统，实现数据共享、流程协同，无需大规模改造现有体系，大幅降低落地门槛，让各行业快速发挥工具价值，提升实战效率。</w:t>
      </w:r>
    </w:p>
    <w:p w14:paraId="44D6594A">
      <w:pPr>
        <w:spacing w:before="300" w:after="120" w:line="288" w:lineRule="auto"/>
        <w:ind w:left="0"/>
        <w:jc w:val="left"/>
        <w:outlineLvl w:val="2"/>
      </w:pPr>
      <w:bookmarkStart w:id="11" w:name="heading_11"/>
      <w:r>
        <w:rPr>
          <w:rFonts w:ascii="Arial" w:hAnsi="Arial" w:eastAsia="等线" w:cs="Arial"/>
          <w:b/>
          <w:sz w:val="30"/>
        </w:rPr>
        <w:t>3：实战化迭代，适配行业发展</w:t>
      </w:r>
      <w:bookmarkEnd w:id="11"/>
    </w:p>
    <w:p w14:paraId="18121EF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软件团队结合各行业实战反馈与发展趋势，持续优化产品功能，迭代适配方案。例如，根据零售业直播带货趋势，优化AI营销智脑的直播话术生成、实时互动功能；根据制造业数字化升级需求，优化AI核心智脑的生产数据可视化、智能决策功能，确保软件始终适配行业发展，为实战赋能提供持续支撑。</w:t>
      </w:r>
    </w:p>
    <w:p w14:paraId="4FD0F673">
      <w:pPr>
        <w:spacing w:before="320" w:after="120" w:line="288" w:lineRule="auto"/>
        <w:ind w:left="0"/>
        <w:jc w:val="left"/>
        <w:outlineLvl w:val="1"/>
      </w:pPr>
      <w:bookmarkStart w:id="12" w:name="heading_12"/>
      <w:r>
        <w:rPr>
          <w:rFonts w:ascii="Arial" w:hAnsi="Arial" w:eastAsia="等线" w:cs="Arial"/>
          <w:b/>
          <w:sz w:val="32"/>
        </w:rPr>
        <w:t>四：行业专项培训——赋能团队能力，保障实战落地</w:t>
      </w:r>
      <w:bookmarkEnd w:id="12"/>
    </w:p>
    <w:p w14:paraId="113E70E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工具与方案再好，没有专业团队支撑，也难以发挥实战价值。AI智能体培训聚焦“行业专项、实操导向”，针对各行业员工的岗位需求，开展定制化培训，提升员工AI工具操作能力与方案执行能力，确保方案落地不走样、见成效。</w:t>
      </w:r>
    </w:p>
    <w:p w14:paraId="31FB6F09">
      <w:pPr>
        <w:spacing w:before="300" w:after="120" w:line="288" w:lineRule="auto"/>
        <w:ind w:left="0"/>
        <w:jc w:val="left"/>
        <w:outlineLvl w:val="2"/>
      </w:pPr>
      <w:bookmarkStart w:id="13" w:name="heading_13"/>
      <w:r>
        <w:rPr>
          <w:rFonts w:ascii="Arial" w:hAnsi="Arial" w:eastAsia="等线" w:cs="Arial"/>
          <w:b/>
          <w:sz w:val="30"/>
        </w:rPr>
        <w:t>1：行业专项内容，贴合岗位需求</w:t>
      </w:r>
      <w:bookmarkEnd w:id="13"/>
    </w:p>
    <w:p w14:paraId="251FBB7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培训内容紧密结合各行业业务场景与岗位特性，拒绝通用化理论灌输。针对制造业生产岗位员工，侧重AI核心智脑的实操培训，聚焦生产巡检、数据录入等实战场景；针对零售业营销岗位员工，侧重AI营销智脑、AIGEO抢位智脑的实操培训，聚焦内容创作、多渠道引流等场景；针对服务业客服岗位员工，侧重AI数字员工的操作培训，聚焦客户咨询、售后跟进等场景，让培训更具针对性。</w:t>
      </w:r>
    </w:p>
    <w:p w14:paraId="23CD8BA9">
      <w:pPr>
        <w:spacing w:before="300" w:after="120" w:line="288" w:lineRule="auto"/>
        <w:ind w:left="0"/>
        <w:jc w:val="left"/>
        <w:outlineLvl w:val="2"/>
      </w:pPr>
      <w:bookmarkStart w:id="14" w:name="heading_14"/>
      <w:r>
        <w:rPr>
          <w:rFonts w:ascii="Arial" w:hAnsi="Arial" w:eastAsia="等线" w:cs="Arial"/>
          <w:b/>
          <w:sz w:val="30"/>
        </w:rPr>
        <w:t>2：实操导向教学，确保学以致用</w:t>
      </w:r>
      <w:bookmarkEnd w:id="14"/>
    </w:p>
    <w:p w14:paraId="395CA2E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采用“认知重塑+实操教学+场景模拟+案例复盘”的培训模式，结合各行业实战案例，让员工亲手操作软件、模拟方案执行，及时解决操作中的疑问。培训后组织实操考核，确保员工能够将所学知识运用到实际工作中，避免“培训与实战脱节、学了不会用”的问题，保障方案落地效率。</w:t>
      </w:r>
    </w:p>
    <w:p w14:paraId="781B621D">
      <w:pPr>
        <w:spacing w:before="300" w:after="120" w:line="288" w:lineRule="auto"/>
        <w:ind w:left="0"/>
        <w:jc w:val="left"/>
        <w:outlineLvl w:val="2"/>
      </w:pPr>
      <w:bookmarkStart w:id="15" w:name="heading_15"/>
      <w:r>
        <w:rPr>
          <w:rFonts w:ascii="Arial" w:hAnsi="Arial" w:eastAsia="等线" w:cs="Arial"/>
          <w:b/>
          <w:sz w:val="30"/>
        </w:rPr>
        <w:t>3：分层赋能，覆盖全岗位需求</w:t>
      </w:r>
      <w:bookmarkEnd w:id="15"/>
    </w:p>
    <w:p w14:paraId="0931D32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针对各行业不同层级员工，开展分层培训：基层员工侧重工具实操、流程执行培训，确保熟练完成本职工作；管理层侧重方案统筹、效果评估、策略优化培训，提升统筹推进实战落地的能力；决策层侧重行业AI赋能趋势、盈利逻辑培训，提升战略规划能力，实现全岗位能力赋能，为实战落地提供人才支撑。</w:t>
      </w:r>
    </w:p>
    <w:p w14:paraId="4C0AE788">
      <w:pPr>
        <w:spacing w:before="320" w:after="120" w:line="288" w:lineRule="auto"/>
        <w:ind w:left="0"/>
        <w:jc w:val="left"/>
        <w:outlineLvl w:val="1"/>
      </w:pPr>
      <w:bookmarkStart w:id="16" w:name="heading_16"/>
      <w:bookmarkStart w:id="21" w:name="_GoBack"/>
      <w:bookmarkEnd w:id="21"/>
      <w:r>
        <w:rPr>
          <w:rFonts w:ascii="Arial" w:hAnsi="Arial" w:eastAsia="等线" w:cs="Arial"/>
          <w:b/>
          <w:sz w:val="32"/>
        </w:rPr>
        <w:t>五：行业陪伴辅导——全程护航落地，确保实战成效</w:t>
      </w:r>
      <w:bookmarkEnd w:id="16"/>
    </w:p>
    <w:p w14:paraId="7B7C205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多行业实战落地过程中，难免遇到流程适配、工具操作、员工配合等问题，若无人指导，极易走弯路、影响成效。AI智能体辅导聚焦“行业专属、陪伴式、结果导向”，全程跟进各行业落地过程，及时解决各类问题，确保方案落地即见成效、成效可持续。</w:t>
      </w:r>
    </w:p>
    <w:p w14:paraId="7F42A62F">
      <w:pPr>
        <w:spacing w:before="300" w:after="120" w:line="288" w:lineRule="auto"/>
        <w:ind w:left="0"/>
        <w:jc w:val="left"/>
        <w:outlineLvl w:val="2"/>
      </w:pPr>
      <w:bookmarkStart w:id="17" w:name="heading_17"/>
      <w:r>
        <w:rPr>
          <w:rFonts w:ascii="Arial" w:hAnsi="Arial" w:eastAsia="等线" w:cs="Arial"/>
          <w:b/>
          <w:sz w:val="30"/>
        </w:rPr>
        <w:t>1：行业专属辅导，精准解决实战难题</w:t>
      </w:r>
      <w:bookmarkEnd w:id="17"/>
    </w:p>
    <w:p w14:paraId="4072812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辅导团队均具备多行业实战经验，针对不同行业，配备专属辅导人员，精准对接行业特性与落地痛点。例如，为制造业辅导生产流程适配、AI视觉检测优化等问题；为零售业辅导引流方案调整、复购策略优化等问题；为服务业辅导员工操作规范、客户体验提升等问题，精准解决实战中的各类难题，避免走弯路。</w:t>
      </w:r>
    </w:p>
    <w:p w14:paraId="46E30FB3">
      <w:pPr>
        <w:spacing w:before="300" w:after="120" w:line="288" w:lineRule="auto"/>
        <w:ind w:left="0"/>
        <w:jc w:val="left"/>
        <w:outlineLvl w:val="2"/>
      </w:pPr>
      <w:bookmarkStart w:id="18" w:name="heading_18"/>
      <w:r>
        <w:rPr>
          <w:rFonts w:ascii="Arial" w:hAnsi="Arial" w:eastAsia="等线" w:cs="Arial"/>
          <w:b/>
          <w:sz w:val="30"/>
        </w:rPr>
        <w:t>2：全程陪伴跟进，保障落地进度</w:t>
      </w:r>
      <w:bookmarkEnd w:id="18"/>
    </w:p>
    <w:p w14:paraId="43E8FBD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辅导服务贯穿方案落地全流程，从方案启动、工具部署，到员工培训、效果复盘，辅导团队全程跟进，定期对接客户，及时掌握落地进度。针对落地过程中出现的问题，快速响应、现场指导，确保方案按计划推进，避免“落地卡壳、进度滞后”，让各行业快速拿到实战成效。</w:t>
      </w:r>
    </w:p>
    <w:p w14:paraId="3FE58DFB">
      <w:pPr>
        <w:spacing w:before="300" w:after="120" w:line="288" w:lineRule="auto"/>
        <w:ind w:left="0"/>
        <w:jc w:val="left"/>
        <w:outlineLvl w:val="2"/>
      </w:pPr>
      <w:bookmarkStart w:id="19" w:name="heading_19"/>
      <w:r>
        <w:rPr>
          <w:rFonts w:ascii="Arial" w:hAnsi="Arial" w:eastAsia="等线" w:cs="Arial"/>
          <w:b/>
          <w:sz w:val="30"/>
        </w:rPr>
        <w:t>3：效果复盘优化，实现长效盈利</w:t>
      </w:r>
      <w:bookmarkEnd w:id="19"/>
    </w:p>
    <w:p w14:paraId="6420092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辅导团队结合各行业实战数据，定期复盘落地效果，对比行业标杆，找到薄弱环节，指导客户优化方案、调整工具配置、完善执行策略。例如，指导零售企业根据引流数据，优化AI营销内容与分发渠道；指导制造业根据生产数据，优化AI生产流程，持续提升引流、增效、盈利成效，实现长效赋能、持续盈利。</w:t>
      </w:r>
    </w:p>
    <w:p w14:paraId="1368D685">
      <w:pPr>
        <w:spacing w:before="320" w:after="120" w:line="288" w:lineRule="auto"/>
        <w:ind w:left="0"/>
        <w:jc w:val="left"/>
        <w:outlineLvl w:val="1"/>
      </w:pPr>
      <w:bookmarkStart w:id="20" w:name="heading_20"/>
      <w:r>
        <w:rPr>
          <w:rFonts w:hint="eastAsia" w:ascii="Arial" w:hAnsi="Arial" w:eastAsia="等线" w:cs="Arial"/>
          <w:b/>
          <w:sz w:val="32"/>
          <w:lang w:val="en-US" w:eastAsia="zh-CN"/>
        </w:rPr>
        <w:t>总结</w:t>
      </w:r>
      <w:r>
        <w:rPr>
          <w:rFonts w:ascii="Arial" w:hAnsi="Arial" w:eastAsia="等线" w:cs="Arial"/>
          <w:b/>
          <w:sz w:val="32"/>
        </w:rPr>
        <w:t>：多行业实战赋能，落地即见成效</w:t>
      </w:r>
      <w:bookmarkEnd w:id="20"/>
    </w:p>
    <w:p w14:paraId="749956E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不同行业有不同的痛点与需求，AI赋能的核心的是“适配”与“实战”。深圳知行学AI智能体五位一体模式，以行业研究为根基、咨询定制为核心、软件赋能为载体、培训提能为支撑、辅导护航为保障，精准适配多行业实战场景，针对性解决各行业引流、增效、盈利痛点。</w:t>
      </w:r>
    </w:p>
    <w:p w14:paraId="768E42E6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清华大学特聘讲师、</w:t>
      </w:r>
      <w:r>
        <w:rPr>
          <w:rFonts w:ascii="Arial" w:hAnsi="Arial" w:eastAsia="等线" w:cs="Arial"/>
          <w:sz w:val="22"/>
        </w:rPr>
        <w:t>深圳知行学</w:t>
      </w:r>
      <w:r>
        <w:rPr>
          <w:rFonts w:hint="eastAsia" w:ascii="Arial" w:hAnsi="Arial" w:eastAsia="等线" w:cs="Arial"/>
          <w:sz w:val="22"/>
          <w:lang w:val="en-US" w:eastAsia="zh-CN"/>
        </w:rPr>
        <w:t>AI智能体首席顾问坚鹏明确提出：</w:t>
      </w:r>
      <w:r>
        <w:rPr>
          <w:rFonts w:ascii="Arial" w:hAnsi="Arial" w:eastAsia="等线" w:cs="Arial"/>
          <w:sz w:val="22"/>
        </w:rPr>
        <w:t>五大模块各有侧重、深度联动，拒绝模板化、形式化，每一项服务都贴合行业实战，每一套方案都靶向破解难题，让各行业无需盲目试错、无需自行摸索，方案落地即见成效。无论是制造业、零售业、服务业，还是金融业、互联网行业，深圳知行学都能以定制化赋能，助力企业突破发展瓶颈，实现引流、增效、盈利三重提升，在行业竞争中抢占先机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07D5EA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3A2DB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348F1FE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3721</Words>
  <Characters>3781</Characters>
  <TotalTime>0</TotalTime>
  <ScaleCrop>false</ScaleCrop>
  <LinksUpToDate>false</LinksUpToDate>
  <CharactersWithSpaces>3783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2026-02-15T08:56:00Z</dcterms:created>
  <dc:creator>Apache POI</dc:creator>
  <cp:lastModifiedBy>数字化转型导师坚鹏</cp:lastModifiedBy>
  <dcterms:modified xsi:type="dcterms:W3CDTF">2026-02-15T09:53:58Z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FB0B2A5083794BA8A5427DEFDDF75D51_12</vt:lpwstr>
  </property>
</Properties>
</file>