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E57B24">
      <w:pPr>
        <w:pStyle w:val="2"/>
        <w:ind w:left="0" w:leftChars="0" w:firstLine="0" w:firstLineChars="0"/>
        <w:jc w:val="center"/>
        <w:rPr>
          <w:rFonts w:hint="eastAsia"/>
          <w:sz w:val="32"/>
          <w:szCs w:val="32"/>
        </w:rPr>
      </w:pPr>
      <w:r>
        <w:rPr>
          <w:rFonts w:hint="eastAsia"/>
          <w:sz w:val="32"/>
          <w:szCs w:val="32"/>
        </w:rPr>
        <w:t>坚鹏：AI智能体咨询是深圳知行学公司领跑创新应用的关键</w:t>
      </w:r>
    </w:p>
    <w:p w14:paraId="1E5E20BA">
      <w:pPr>
        <w:pStyle w:val="2"/>
        <w:ind w:left="0" w:leftChars="0" w:firstLine="0" w:firstLineChars="0"/>
        <w:jc w:val="center"/>
        <w:rPr>
          <w:rFonts w:hint="eastAsia" w:eastAsia="微软雅黑"/>
          <w:sz w:val="32"/>
          <w:szCs w:val="32"/>
          <w:lang w:eastAsia="zh-CN"/>
        </w:rPr>
      </w:pPr>
      <w:r>
        <w:rPr>
          <w:rFonts w:hint="eastAsia" w:eastAsia="微软雅黑"/>
          <w:sz w:val="32"/>
          <w:szCs w:val="32"/>
          <w:lang w:eastAsia="zh-CN"/>
        </w:rPr>
        <w:drawing>
          <wp:inline distT="0" distB="0" distL="114300" distR="114300">
            <wp:extent cx="4445000" cy="7000875"/>
            <wp:effectExtent l="0" t="0" r="0" b="9525"/>
            <wp:docPr id="2" name="图片 2" descr="AI智能体咨询赋能数字化转型方案2__2025-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I智能体咨询赋能数字化转型方案2__2025-08-01"/>
                    <pic:cNvPicPr>
                      <a:picLocks noChangeAspect="1"/>
                    </pic:cNvPicPr>
                  </pic:nvPicPr>
                  <pic:blipFill>
                    <a:blip r:embed="rId6"/>
                    <a:stretch>
                      <a:fillRect/>
                    </a:stretch>
                  </pic:blipFill>
                  <pic:spPr>
                    <a:xfrm>
                      <a:off x="0" y="0"/>
                      <a:ext cx="4445000" cy="7000875"/>
                    </a:xfrm>
                    <a:prstGeom prst="rect">
                      <a:avLst/>
                    </a:prstGeom>
                  </pic:spPr>
                </pic:pic>
              </a:graphicData>
            </a:graphic>
          </wp:inline>
        </w:drawing>
      </w:r>
    </w:p>
    <w:p w14:paraId="7EB2B491">
      <w:pPr>
        <w:pStyle w:val="3"/>
      </w:pPr>
      <w:bookmarkStart w:id="0" w:name="灵犀_7p1auo0tuk9ds1k6"/>
      <w:r>
        <w:t>AI智能体咨询的战略定位：从行业趋势到企业使命</w:t>
      </w:r>
    </w:p>
    <w:p w14:paraId="50CF88FA">
      <w:pPr>
        <w:pStyle w:val="4"/>
      </w:pPr>
      <w:r>
        <w:t>人工智能时代的智能体革命浪潮</w:t>
      </w:r>
    </w:p>
    <w:p w14:paraId="7F4E6AE9">
      <w:r>
        <w:t>2025年被视为AI智能体“元年”，这一年，AI智能体技术呈现出爆发式增长，在各个行业掀起了一场智能革命的浪潮。在金融领域，AI智能体被广泛应用于风控环节。银行利用智能体实时监测交易数据，精准识别潜在的欺诈风险，大大提高了金融安全系数。在政府治理方面，智能体助力政策制定与执行，通过对海量社会数据的分析，为政府决策提供科学依据，提升治理效率和精准度。医疗诊断领域，AI智能体凭借其强大的数据分析和图像识别能力，辅助医生进行疾病诊断，提高诊断的准确性和速度。</w:t>
      </w:r>
    </w:p>
    <w:p w14:paraId="6AF5E533">
      <w:r>
        <w:t>然而，技术的快速迭代也带来了诸多挑战。许多企业和机构在认知上滞后，对AI智能体的潜力和价值认识不足，难以把握其在自身业务中的应用方向。同时，市场上缺乏既懂AI技术又熟悉行业业务的复合型人才，导致AI智能体的研发和应用受到限制。此外，AI智能体在实际落地过程中面临着诸如数据安全、系统兼容性等问题，增加了应用的难度和成本。</w:t>
      </w:r>
    </w:p>
    <w:p w14:paraId="1CFB9A02">
      <w:pPr>
        <w:pStyle w:val="4"/>
      </w:pPr>
      <w:r>
        <w:t>知行学的“五位一体”战略布局</w:t>
      </w:r>
    </w:p>
    <w:p w14:paraId="51895B96">
      <w:pPr>
        <w:numPr>
          <w:ilvl w:val="0"/>
          <w:numId w:val="3"/>
        </w:numPr>
        <w:spacing w:before="0" w:beforeAutospacing="1" w:after="0" w:afterAutospacing="1"/>
        <w:ind w:left="720" w:hanging="360"/>
      </w:pPr>
      <w:r>
        <w:t>咨询作为核心纽带，连接着研究、培训、软件和辅导等各项服务。研究为咨询提供了坚实的理论基础和前沿的技术支持，使咨询能够为客户提供科学、准确的解决方案。</w:t>
      </w:r>
    </w:p>
    <w:p w14:paraId="39E511E6">
      <w:pPr>
        <w:numPr>
          <w:ilvl w:val="0"/>
          <w:numId w:val="3"/>
        </w:numPr>
        <w:spacing w:before="0" w:beforeAutospacing="1" w:after="0" w:afterAutospacing="1"/>
        <w:ind w:left="720" w:hanging="360"/>
      </w:pPr>
      <w:r>
        <w:t>培训则是在咨询的基础上，帮助客户团队提升对AI智能体的认知和应用能力，确保方案能够顺利实施。</w:t>
      </w:r>
    </w:p>
    <w:p w14:paraId="2E954038">
      <w:pPr>
        <w:numPr>
          <w:ilvl w:val="0"/>
          <w:numId w:val="3"/>
        </w:numPr>
        <w:spacing w:before="0" w:beforeAutospacing="1" w:after="0" w:afterAutospacing="1"/>
        <w:ind w:left="720" w:hanging="360"/>
      </w:pPr>
      <w:r>
        <w:t>软件是咨询方案的具体载体，通过定制化的软件产品，将咨询方案落地到客户的实际业务中。</w:t>
      </w:r>
    </w:p>
    <w:p w14:paraId="18BAC382">
      <w:pPr>
        <w:numPr>
          <w:ilvl w:val="0"/>
          <w:numId w:val="3"/>
        </w:numPr>
        <w:spacing w:before="0" w:beforeAutospacing="1" w:after="0" w:afterAutospacing="1"/>
        <w:ind w:left="720" w:hanging="360"/>
      </w:pPr>
      <w:r>
        <w:t>辅导则在软件应用过程中提供持续的支持和指导，保障客户能够充分发挥AI智能体的价值。咨询服务贯穿于整个流程，根据客户的需求和反馈，协调其他服务的开展，形成一个有机的整体，为客户提供全方位的一站式服务。</w:t>
      </w:r>
    </w:p>
    <w:p w14:paraId="1CAC9E57">
      <w:pPr>
        <w:pStyle w:val="4"/>
      </w:pPr>
      <w:r>
        <w:t>咨询工作与“引领者”目标的强关联</w:t>
      </w:r>
    </w:p>
    <w:p w14:paraId="2A216A86">
      <w:r>
        <w:t>知行学的咨询工作能够深入了解客户在数字化转型过程中遇到的痛点和难题，如业务流程繁琐、决策效率低下等。通过提供针对性的AI解决方案，帮助客户优化业务流程，提高工作效率和质量，实现数字化转型的目标。当客户在咨询服务的帮助下取得成功时，会在行业内形成良好的示范效应，吸引更多的企业和机构关注和采用AI智能体技术，从而塑造了积极的行业生态。</w:t>
      </w:r>
    </w:p>
    <w:p w14:paraId="4755CF7A">
      <w:r>
        <w:t>同时，咨询工作的开展需要公司具备强大的技术落地能力，这促使知行学不断提升自身的技术水平和实践经验。在为客户解决实际问题的过程中，公司的专业能力和服务质量得到了客户的认可，进而提升了市场口碑。良好的市场口碑又吸引了更多的客户，为公司成为AI智能体创新应用引领者奠定了坚实的基础。</w:t>
      </w:r>
    </w:p>
    <w:bookmarkEnd w:id="0"/>
    <w:p w14:paraId="0195DBF9">
      <w:pPr>
        <w:pStyle w:val="3"/>
      </w:pPr>
      <w:bookmarkStart w:id="1" w:name="灵犀_sro9hmdrzyh6mo4e"/>
      <w:r>
        <w:t>AI智能体咨询的核心价值：全链路赋能客户成功</w:t>
      </w:r>
    </w:p>
    <w:p w14:paraId="435D72A0">
      <w:pPr>
        <w:pStyle w:val="4"/>
      </w:pPr>
      <w:r>
        <w:t>认知破局：从“模糊认知”到“清晰价值”</w:t>
      </w:r>
    </w:p>
    <w:p w14:paraId="4A62AED6">
      <w:r>
        <w:t>许多客户对AI智能体的认知存在模糊和片面的情况，不清楚其能为自身业务带来的具体价值，也不了解如何将其应用到实际工作中。这种认知壁垒导致客户在面对AI智能体时犹豫不决，不敢轻易尝试。</w:t>
      </w:r>
    </w:p>
    <w:p w14:paraId="7493C03B">
      <w:r>
        <w:t>知行学的咨询服务通过多种方式打破这一壁垒。一方面，咨询团队会为客户讲解AI智能体的技术原理，以通俗易懂的语言解释复杂的算法和模型，让客户明白其背后的运行逻辑。另一方面，会分享大量的行业案例，展示AI智能体在不同场景下的应用效果。例如，在银行信贷审批业务中，引入AI智能体后，审批效率提升了20%，大大缩短了客户等待时间，同时降低了风险。通过这些案例，客户能够直观地看到AI智能体带来的显著价值。</w:t>
      </w:r>
    </w:p>
    <w:p w14:paraId="61488E2B">
      <w:r>
        <w:t>以某小型银行客户为例，起初对AI智能体在信贷业务中的应用持怀疑态度。咨询团队为其详细讲解了AI智能体如何通过大数据分析和机器学习算法，快速准确地评估客户信用风险。并分享了其他银行的成功案例，该银行决定尝试应用。在引入AI智能体后，信贷审批效率大幅提高，业务量也随之增长。这种认知升级为后续合作奠定了坚实基础，让客户更愿意与知行学深入合作，探索更多的应用场景。</w:t>
      </w:r>
    </w:p>
    <w:p w14:paraId="378634B0">
      <w:pPr>
        <w:pStyle w:val="4"/>
      </w:pPr>
      <w:r>
        <w:rPr>
          <w:rFonts w:hint="eastAsia"/>
          <w:lang w:val="en-US" w:eastAsia="zh-CN"/>
        </w:rPr>
        <w:t>方法创新：创新</w:t>
      </w:r>
      <w:r>
        <w:rPr>
          <w:rFonts w:hint="eastAsia"/>
        </w:rPr>
        <w:t>三维咨询框架</w:t>
      </w:r>
      <w:r>
        <w:rPr>
          <w:rFonts w:hint="eastAsia"/>
          <w:lang w:eastAsia="zh-CN"/>
        </w:rPr>
        <w:t>，</w:t>
      </w:r>
      <w:r>
        <w:rPr>
          <w:rFonts w:hint="eastAsia"/>
          <w:lang w:val="en-US" w:eastAsia="zh-CN"/>
        </w:rPr>
        <w:t>实现</w:t>
      </w:r>
      <w:r>
        <w:rPr>
          <w:rFonts w:hint="eastAsia"/>
        </w:rPr>
        <w:t>战略、战术与战斗力的协同进化</w:t>
      </w:r>
    </w:p>
    <w:p w14:paraId="5AAE3849">
      <w:r>
        <w:t>知行学的咨询服务采用“AI战略 - 战术场景 - 战斗力建设”的三维设计框架</w:t>
      </w:r>
      <w:r>
        <w:rPr>
          <w:rFonts w:hint="eastAsia"/>
          <w:lang w:eastAsia="zh-CN"/>
        </w:rPr>
        <w:t>，</w:t>
      </w:r>
      <w:r>
        <w:rPr>
          <w:rFonts w:hint="eastAsia"/>
        </w:rPr>
        <w:t>以“全局规划-场景穿透-人才赋能”为核心，构建可落地的AI智能体应用生态</w:t>
      </w:r>
      <w:r>
        <w:t>。AI战略层面，</w:t>
      </w:r>
      <w:r>
        <w:rPr>
          <w:rFonts w:hint="eastAsia"/>
        </w:rPr>
        <w:t>锚定AI与业务融合的顶层设计</w:t>
      </w:r>
      <w:r>
        <w:rPr>
          <w:rFonts w:hint="eastAsia"/>
          <w:lang w:eastAsia="zh-CN"/>
        </w:rPr>
        <w:t>。</w:t>
      </w:r>
      <w:r>
        <w:t>根据客户的行业特点和业务目标，制定长期的AI发展规划，明确发展方向和目标。战术场景设计则针对客户的具体业务场景，如</w:t>
      </w:r>
      <w:r>
        <w:rPr>
          <w:rFonts w:hint="eastAsia"/>
          <w:lang w:val="en-US" w:eastAsia="zh-CN"/>
        </w:rPr>
        <w:t>营销</w:t>
      </w:r>
      <w:r>
        <w:t>、</w:t>
      </w:r>
      <w:r>
        <w:rPr>
          <w:rFonts w:hint="eastAsia"/>
          <w:lang w:val="en-US" w:eastAsia="zh-CN"/>
        </w:rPr>
        <w:t>运营、风控</w:t>
      </w:r>
      <w:r>
        <w:t>等</w:t>
      </w:r>
      <w:r>
        <w:rPr>
          <w:rFonts w:hint="eastAsia"/>
          <w:lang w:val="en-US" w:eastAsia="zh-CN"/>
        </w:rPr>
        <w:t>不同场景</w:t>
      </w:r>
      <w:r>
        <w:t>，</w:t>
      </w:r>
      <w:r>
        <w:rPr>
          <w:rFonts w:hint="eastAsia"/>
        </w:rPr>
        <w:t>打通落地“最后一公里</w:t>
      </w:r>
      <w:r>
        <w:rPr>
          <w:rFonts w:hint="eastAsia"/>
          <w:lang w:eastAsia="zh-CN"/>
        </w:rPr>
        <w:t>，</w:t>
      </w:r>
      <w:r>
        <w:t>设计个性化的AI智能体应用方案。战斗力建设方面，帮助客户构建支撑AI智能体运行的技术体系和团队能力，确保方案能够有效实施。</w:t>
      </w:r>
    </w:p>
    <w:p w14:paraId="42DAA40F">
      <w:pPr>
        <w:pStyle w:val="4"/>
      </w:pPr>
      <w:r>
        <w:t>落地护航：从“方案”到“成果”的关键支撑</w:t>
      </w:r>
    </w:p>
    <w:p w14:paraId="57F2A6F9">
      <w:r>
        <w:t>在AI智能体方案落地过程中，会面临诸多难题。数据合规问题是其中之一，不同行业和地区对数据的使用和保护有严格的规定，如何确保AI智能体在合法合规的前提下使用数据是关键。流程冲突也是常见问题，新的AI智能体应用可能与现有的业务流程不兼容，导致实施困难。</w:t>
      </w:r>
    </w:p>
    <w:p w14:paraId="054F81CD">
      <w:r>
        <w:t>咨询团队通过一系列手段解决这些问题。首先进行沙盘演练，模拟AI智能体在实际业务中的运行情况，提前发现可能出现的问题，并制定相应的解决方案。然后进行工具适配，根据客户的业务需求和现有系统，选择合适的AI工具和技术，确保其与现有业务流程无缝对接。同时，对可能出现的风险进行预判，如技术故障、数据泄露等，并制定应急预案。</w:t>
      </w:r>
    </w:p>
    <w:p w14:paraId="63972E7A">
      <w:r>
        <w:t>以某企业为例，在引入AI智能体进行生产流程优化时，咨询团队发现存在数据合规风险和流程冲突问题。通过沙盘演练，调整了数据使用方案，确保符合法规要求。对现有业务流程进行了优化，使其与AI智能体更好地配合。在实施过程中，辅导服务持续跟进，帮助客户团队提升对AI智能体的操作和维护能力，确保方案顺利落地并取得预期成果。</w:t>
      </w:r>
    </w:p>
    <w:bookmarkEnd w:id="1"/>
    <w:p w14:paraId="72921629">
      <w:pPr>
        <w:pStyle w:val="3"/>
      </w:pPr>
      <w:bookmarkStart w:id="2" w:name="灵犀_a4qu94e2pp60pvqn"/>
      <w:r>
        <w:t>知行学AI智能体咨询的差异化竞争力</w:t>
      </w:r>
    </w:p>
    <w:p w14:paraId="5F4AF7C3">
      <w:pPr>
        <w:pStyle w:val="4"/>
      </w:pPr>
      <w:r>
        <w:t>行业深度：跨领域知识图谱构建</w:t>
      </w:r>
    </w:p>
    <w:p w14:paraId="6A05BD7D">
      <w:pPr>
        <w:numPr>
          <w:ilvl w:val="0"/>
          <w:numId w:val="4"/>
        </w:numPr>
        <w:spacing w:before="0" w:beforeAutospacing="1" w:after="0" w:afterAutospacing="1"/>
        <w:ind w:left="720" w:hanging="360"/>
      </w:pPr>
      <w:r>
        <w:rPr>
          <w:rFonts w:hint="eastAsia"/>
          <w:lang w:val="en-US" w:eastAsia="zh-CN"/>
        </w:rPr>
        <w:t>企业领域：知行学非常熟悉制造业、零售等中小民营企业以及中大型国有企业集团公司的战略及运营情况，能够根据不同类型的企业设计不同的AI智能体咨询解决方案。</w:t>
      </w:r>
    </w:p>
    <w:p w14:paraId="1D325C7C">
      <w:pPr>
        <w:numPr>
          <w:ilvl w:val="0"/>
          <w:numId w:val="4"/>
        </w:numPr>
        <w:spacing w:before="0" w:beforeAutospacing="1" w:after="0" w:afterAutospacing="1"/>
        <w:ind w:left="720" w:hanging="360"/>
      </w:pPr>
      <w:r>
        <w:t>银行领域：知行学积累了丰富的银行知识库，涵盖智能客服、信贷审批、金融风控等多个场景。其中，银行智能客服场景拥有100 + 案例库，详细记录了不同规模、不同业务类型银行的智能客服解决方案及实施效果。</w:t>
      </w:r>
    </w:p>
    <w:p w14:paraId="6468BC4C">
      <w:pPr>
        <w:numPr>
          <w:ilvl w:val="0"/>
          <w:numId w:val="4"/>
        </w:numPr>
        <w:spacing w:before="0" w:beforeAutospacing="1" w:after="0" w:afterAutospacing="1"/>
        <w:ind w:left="720" w:hanging="360"/>
      </w:pPr>
      <w:r>
        <w:t>保险领域：针对保险行业，建立了核保理赔、营销服务等方面的知识库。包含各类保险产品的风险评估模型、理赔流程优化案例，以及通过AI智能体提升营销效率的成功经验。</w:t>
      </w:r>
    </w:p>
    <w:p w14:paraId="65BE9EEB">
      <w:pPr>
        <w:numPr>
          <w:ilvl w:val="0"/>
          <w:numId w:val="4"/>
        </w:numPr>
        <w:spacing w:before="0" w:beforeAutospacing="1" w:after="0" w:afterAutospacing="1"/>
        <w:ind w:left="720" w:hanging="360"/>
      </w:pPr>
      <w:r>
        <w:t>政府机构：在政府治理方面，知行学的知识库涉及政策解读、民意分析、政务流程优化等内容。有多个地方政府借助AI智能体提升政策执行效率、增强社会治理能力的实际案例。</w:t>
      </w:r>
    </w:p>
    <w:p w14:paraId="0C5C3477">
      <w:pPr>
        <w:numPr>
          <w:ilvl w:val="0"/>
          <w:numId w:val="4"/>
        </w:numPr>
        <w:spacing w:before="0" w:beforeAutospacing="1" w:after="0" w:afterAutospacing="1"/>
        <w:ind w:left="720" w:hanging="360"/>
      </w:pPr>
      <w:r>
        <w:t>事业单位：针对事业单位，知识库涵盖了财务管理、人事管理、公共服务等场景的AI应用案例。</w:t>
      </w:r>
    </w:p>
    <w:p w14:paraId="6B821AE6">
      <w:r>
        <w:t>知行学的行业专家团队由具备深厚行业背景和AI技术知识的专业人员组成。他们不仅熟悉所在行业的业务流程和痛点，还掌握先进的AI技术，能够将两者有效结合，为客户提供精准的咨询服务。</w:t>
      </w:r>
    </w:p>
    <w:p w14:paraId="633FBCDF">
      <w:pPr>
        <w:pStyle w:val="4"/>
      </w:pPr>
      <w:r>
        <w:t>技术融合：研究与咨询的双向反哺</w:t>
      </w:r>
    </w:p>
    <w:p w14:paraId="7BC78802">
      <w:r>
        <w:t>知行学的AI智能体研究院不断进行技术研发，取得了一系列成果，如多代理系统、提示词工程等。这些技术成果能够有效转化为咨询工具。多代理系统可用于构建复杂业务场景下的AI智能体协同工作模型，为客户提供更高效的解决方案；提示词工程则能优化AI智能体与用户的交互效果，提升服务质量。</w:t>
      </w:r>
    </w:p>
    <w:p w14:paraId="651300CB">
      <w:r>
        <w:t>在实际咨询过程中，咨询团队将这些技术工具应用到客户项目中，根据实际情况进行调整和优化。同时，咨询实践会为技术研究提供需求反馈。当在项目中遇到新的问题或挑战时，会及时反馈给研究院，促使其开展针对性的研究和改进。形成了“技术研发 - 咨询应用 - 需求反哺”的良性循环，不断提升知行学的技术水平和咨询服务质量。</w:t>
      </w:r>
    </w:p>
    <w:p w14:paraId="78AB5FF3">
      <w:pPr>
        <w:pStyle w:val="4"/>
      </w:pPr>
      <w:r>
        <w:t>成果导向：“知行果合一”的评价体系</w:t>
      </w:r>
    </w:p>
    <w:p w14:paraId="5669D2FB">
      <w:r>
        <w:t>知行学与客户共同制定KPI考核机制，根据不同阶段的核心指标设定具体的考核目标和权重。在项目实施过程中，定期对各项指标进行评估和反馈，及时调整方案，确保项目能够达到预期的成果。</w:t>
      </w:r>
    </w:p>
    <w:p w14:paraId="2F812D43">
      <w:pPr>
        <w:rPr>
          <w:rFonts w:hint="eastAsia"/>
          <w:lang w:eastAsia="zh-CN"/>
        </w:rPr>
      </w:pPr>
      <w:r>
        <w:rPr>
          <w:rFonts w:hint="eastAsia"/>
          <w:lang w:val="en-US" w:eastAsia="zh-CN"/>
        </w:rPr>
        <w:t>在</w:t>
      </w:r>
      <w:r>
        <w:t>短期效率提升</w:t>
      </w:r>
      <w:r>
        <w:rPr>
          <w:rFonts w:hint="eastAsia"/>
          <w:lang w:val="en-US" w:eastAsia="zh-CN"/>
        </w:rPr>
        <w:t>方面，可以帮助客户在缩短流程、降低成本等多方面起到显著作用。例如，</w:t>
      </w:r>
      <w:r>
        <w:t>银行信贷审批流程从原来的数天缩短至一天以内，保险核保理赔流程时间大幅减少等</w:t>
      </w:r>
      <w:r>
        <w:rPr>
          <w:rFonts w:hint="eastAsia"/>
          <w:lang w:eastAsia="zh-CN"/>
        </w:rPr>
        <w:t>，</w:t>
      </w:r>
      <w:r>
        <w:t>通过AI智能体的应用，降低人力成本、运营成本等</w:t>
      </w:r>
      <w:r>
        <w:rPr>
          <w:rFonts w:hint="eastAsia"/>
          <w:lang w:eastAsia="zh-CN"/>
        </w:rPr>
        <w:t>。</w:t>
      </w:r>
    </w:p>
    <w:p w14:paraId="6818CBD7">
      <w:pPr>
        <w:rPr>
          <w:rFonts w:hint="eastAsia"/>
          <w:lang w:eastAsia="zh-CN"/>
        </w:rPr>
      </w:pPr>
      <w:r>
        <w:rPr>
          <w:rFonts w:hint="eastAsia"/>
          <w:lang w:val="en-US" w:eastAsia="zh-CN"/>
        </w:rPr>
        <w:t>在</w:t>
      </w:r>
      <w:r>
        <w:t>中期能力建设</w:t>
      </w:r>
      <w:r>
        <w:rPr>
          <w:rFonts w:hint="eastAsia"/>
          <w:lang w:val="en-US" w:eastAsia="zh-CN"/>
        </w:rPr>
        <w:t>方面，可以帮助客户提高团队AI技能、</w:t>
      </w:r>
      <w:r>
        <w:t>数据利用能力</w:t>
      </w:r>
      <w:r>
        <w:rPr>
          <w:rFonts w:hint="eastAsia"/>
          <w:lang w:val="en-US" w:eastAsia="zh-CN"/>
        </w:rPr>
        <w:t>等多方面持续提升</w:t>
      </w:r>
      <w:r>
        <w:rPr>
          <w:rFonts w:hint="eastAsia"/>
          <w:lang w:eastAsia="zh-CN"/>
        </w:rPr>
        <w:t>。</w:t>
      </w:r>
      <w:r>
        <w:rPr>
          <w:rFonts w:hint="eastAsia"/>
          <w:lang w:val="en-US" w:eastAsia="zh-CN"/>
        </w:rPr>
        <w:t>例如，</w:t>
      </w:r>
      <w:r>
        <w:t>员工掌握AI智能体的操作、维护和优化技能，能够独立解决常见问题</w:t>
      </w:r>
      <w:r>
        <w:rPr>
          <w:rFonts w:hint="eastAsia"/>
          <w:lang w:val="en-US" w:eastAsia="zh-CN"/>
        </w:rPr>
        <w:t>；</w:t>
      </w:r>
      <w:r>
        <w:t>有效收集、分析和利用数据，为业务决策提供支持</w:t>
      </w:r>
      <w:r>
        <w:rPr>
          <w:rFonts w:hint="eastAsia"/>
          <w:lang w:eastAsia="zh-CN"/>
        </w:rPr>
        <w:t>。</w:t>
      </w:r>
    </w:p>
    <w:p w14:paraId="7060DC0A">
      <w:pPr>
        <w:rPr>
          <w:rFonts w:hint="eastAsia" w:eastAsia="微软雅黑"/>
          <w:lang w:val="en-US" w:eastAsia="zh-CN"/>
        </w:rPr>
      </w:pPr>
      <w:r>
        <w:rPr>
          <w:rFonts w:hint="eastAsia"/>
          <w:lang w:val="en-US" w:eastAsia="zh-CN"/>
        </w:rPr>
        <w:t>在</w:t>
      </w:r>
      <w:r>
        <w:t>长期价值创造</w:t>
      </w:r>
      <w:r>
        <w:rPr>
          <w:rFonts w:hint="eastAsia"/>
          <w:lang w:val="en-US" w:eastAsia="zh-CN"/>
        </w:rPr>
        <w:t>方面，可以帮助客户创</w:t>
      </w:r>
      <w:r>
        <w:t>新商业模式</w:t>
      </w:r>
      <w:r>
        <w:rPr>
          <w:rFonts w:hint="eastAsia"/>
          <w:lang w:eastAsia="zh-CN"/>
        </w:rPr>
        <w:t>、</w:t>
      </w:r>
      <w:r>
        <w:rPr>
          <w:rFonts w:hint="eastAsia"/>
          <w:lang w:val="en-US" w:eastAsia="zh-CN"/>
        </w:rPr>
        <w:t>提升市场竞争力等方面创造非凡价值，例如，帮助</w:t>
      </w:r>
      <w:r>
        <w:t>银行推出基于AI智能体的个性化金融服务模式，保险公司创新保险产品和服务方式</w:t>
      </w:r>
      <w:r>
        <w:rPr>
          <w:rFonts w:hint="eastAsia"/>
          <w:lang w:val="en-US" w:eastAsia="zh-CN"/>
        </w:rPr>
        <w:t>；帮助客户</w:t>
      </w:r>
      <w:r>
        <w:t>在市场中获得更大的份额，提高品牌知名度和美誉度</w:t>
      </w:r>
      <w:r>
        <w:rPr>
          <w:rFonts w:hint="eastAsia"/>
          <w:lang w:eastAsia="zh-CN"/>
        </w:rPr>
        <w:t>。</w:t>
      </w:r>
    </w:p>
    <w:bookmarkEnd w:id="2"/>
    <w:p w14:paraId="172A0CC7">
      <w:pPr>
        <w:pStyle w:val="3"/>
      </w:pPr>
      <w:bookmarkStart w:id="3" w:name="灵犀_o0ms5geiz0swfa54"/>
      <w:r>
        <w:t>典型实践：咨询服务驱动客户价值落地</w:t>
      </w:r>
    </w:p>
    <w:p w14:paraId="682836D7">
      <w:pPr>
        <w:pStyle w:val="4"/>
      </w:pPr>
      <w:r>
        <w:t>银行业：智能风控与客户运营双提升</w:t>
      </w:r>
    </w:p>
    <w:p w14:paraId="31403576">
      <w:pPr>
        <w:numPr>
          <w:ilvl w:val="0"/>
          <w:numId w:val="5"/>
        </w:numPr>
        <w:spacing w:before="0" w:beforeAutospacing="1" w:after="0" w:afterAutospacing="1"/>
        <w:ind w:left="720" w:hanging="360"/>
      </w:pPr>
      <w:r>
        <w:rPr>
          <w:b/>
        </w:rPr>
        <w:t>需求诊断</w:t>
      </w:r>
      <w:r>
        <w:t>：某银行在信贷业务中面临审批流程繁琐、效率低下的问题，一笔贷款审批时间长达3天，且不良率较高，影响了银行的资金流转和盈利能力。同时，在客户运营方面，客服响应不及时，客户满意度较低。</w:t>
      </w:r>
    </w:p>
    <w:p w14:paraId="45216247">
      <w:pPr>
        <w:numPr>
          <w:ilvl w:val="0"/>
          <w:numId w:val="5"/>
        </w:numPr>
        <w:spacing w:before="0" w:beforeAutospacing="1" w:after="0" w:afterAutospacing="1"/>
        <w:ind w:left="720" w:hanging="360"/>
      </w:pPr>
      <w:r>
        <w:rPr>
          <w:b/>
        </w:rPr>
        <w:t>方案设计</w:t>
      </w:r>
      <w:r>
        <w:t>：咨询团队为该银行量身定制了智能风控模型和智能客服优化方案。在智能风控方面，引入AI智能体对海量客户数据进行实时分析，精准评估客户信用风险。在智能客服方面，开发智能客服系统，利用自然语言处理技术实现快速准确的客户问题解答。</w:t>
      </w:r>
    </w:p>
    <w:p w14:paraId="1575F9F6">
      <w:pPr>
        <w:numPr>
          <w:ilvl w:val="0"/>
          <w:numId w:val="5"/>
        </w:numPr>
        <w:spacing w:before="0" w:beforeAutospacing="1" w:after="0" w:afterAutospacing="1"/>
        <w:ind w:left="720" w:hanging="360"/>
      </w:pPr>
      <w:r>
        <w:rPr>
          <w:b/>
        </w:rPr>
        <w:t>落地效果</w:t>
      </w:r>
      <w:r>
        <w:t>：智能风控模型落地后，贷款审批时间从3天缩短至1分钟，大大提高了业务效率。不良率降低了20%，有效控制了风险。智能客服场景优化后，客户问题响应速度大幅提升，客户满意度显著提高，实现了智能风控与客户运营的双提升。</w:t>
      </w:r>
    </w:p>
    <w:p w14:paraId="554DB40B">
      <w:pPr>
        <w:pStyle w:val="4"/>
      </w:pPr>
      <w:r>
        <w:t>保险业：核保理赔与营销效率的突破</w:t>
      </w:r>
    </w:p>
    <w:p w14:paraId="45974C13">
      <w:r>
        <w:t>保险行业面临核保理赔流程复杂、欺诈风险高以及营销效率低下等问题。</w:t>
      </w:r>
      <w:r>
        <w:rPr>
          <w:rFonts w:hint="eastAsia"/>
          <w:lang w:val="en-US" w:eastAsia="zh-CN"/>
        </w:rPr>
        <w:t>咨询团队</w:t>
      </w:r>
      <w:r>
        <w:t>为保险客户定制了AI核保智能体，该智能体能够自动识别欺诈风险，通过对历史理赔数据和客户信息的深度分析，精准判断风险概率。在实际应用中，核保理赔处理时效提升了50%，大大缩短了客户等待时间。在营销场景中，客户画像智能体发挥了重要作用。通过对客户行为、偏好等多维度数据的分析，精准定位目标客户，营销转化率提高了30%，有效提升了营销效率。</w:t>
      </w:r>
    </w:p>
    <w:p w14:paraId="02821ACA">
      <w:pPr>
        <w:pStyle w:val="4"/>
      </w:pPr>
      <w:r>
        <w:t>政府机构：智能化治理的创新实践</w:t>
      </w:r>
    </w:p>
    <w:p w14:paraId="156E57E3">
      <w:r>
        <w:t>某地方政府在政策制定和执行过程中，面临信息获取不及时、民意反馈渠道不畅等问题，导致政策响应速度较慢。</w:t>
      </w:r>
      <w:r>
        <w:rPr>
          <w:rFonts w:hint="eastAsia"/>
          <w:lang w:val="en-US" w:eastAsia="zh-CN"/>
        </w:rPr>
        <w:t>咨询团队</w:t>
      </w:r>
      <w:r>
        <w:t>为其搭建了“政策解读 - 民意分析 - 执行监督”智能体系统。该系统能够实时收集和分析社会数据，为政策制定提供科学依据。通过对社交媒体、政务平台等多渠道数据的监测，及时了解民意诉求。在政策执行过程中，对执行情况进行实时监督，确保政策落地生效。系统上线后，政策响应速度提升了3倍，政府治理效率显著提高。在数据安全与隐私保护方面，咨询团队为政府提供了专业的建议，采用加密技术、访问控制等手段，确保数据的安全性和公民隐私不受侵犯。</w:t>
      </w:r>
    </w:p>
    <w:bookmarkEnd w:id="3"/>
    <w:p w14:paraId="062B6C58">
      <w:pPr>
        <w:pStyle w:val="3"/>
      </w:pPr>
      <w:bookmarkStart w:id="4" w:name="灵犀_4uf7xdviw5r4tu1t"/>
      <w:r>
        <w:t>未来展望：咨询服务如何巩固引领</w:t>
      </w:r>
      <w:r>
        <w:rPr>
          <w:rFonts w:hint="eastAsia"/>
          <w:lang w:val="en-US" w:eastAsia="zh-CN"/>
        </w:rPr>
        <w:t>行业</w:t>
      </w:r>
      <w:r>
        <w:t>地位</w:t>
      </w:r>
    </w:p>
    <w:p w14:paraId="69C581C9">
      <w:pPr>
        <w:pStyle w:val="4"/>
      </w:pPr>
      <w:r>
        <w:t>技术迭代：应对AI智能体的新挑战</w:t>
      </w:r>
    </w:p>
    <w:p w14:paraId="73201364">
      <w:r>
        <w:t>随着大模型不断进化，其参数规模持续增大、性能不断提升，能处理更加复杂和多样化的任务。多智能体协作技术的发展，使多个智能体之间能够相互配合、协同工作，实现更高级的功能。这些技术趋势对知行学的咨询服务提出了新要求。复杂系统设计能力成为关键，需要为客户设计出能够整合多种技术、适应不同业务场景的复杂AI智能体系统。同时，对算法优化、数据处理和模型管理等方面的要求也更高。</w:t>
      </w:r>
    </w:p>
    <w:p w14:paraId="0F4A9FE8">
      <w:r>
        <w:t>知行学已在自适应算法、上下文工程等领域展开预研布局。自适应算法能使AI智能体根据环境变化自动调整策略，上下文工程则有助于智能体更好地理解和处理上下文信息，提升交互质量和决策准确性，为应对未来技术挑战做好准备。</w:t>
      </w:r>
    </w:p>
    <w:p w14:paraId="26592556">
      <w:pPr>
        <w:pStyle w:val="4"/>
      </w:pPr>
      <w:r>
        <w:t>生态共建：整合多方资源的价值网络</w:t>
      </w:r>
    </w:p>
    <w:p w14:paraId="4C167325">
      <w:r>
        <w:t>知行学的咨询服务在连接多方资源、构建协同创新生态方面发挥着重要作用。通过咨询服务，将AI开发者、数据提供者和行业用户紧密联系在一起。</w:t>
      </w:r>
    </w:p>
    <w:p w14:paraId="3DDE4DFB">
      <w:pPr>
        <w:numPr>
          <w:ilvl w:val="0"/>
          <w:numId w:val="6"/>
        </w:numPr>
        <w:spacing w:before="0" w:beforeAutospacing="1" w:after="0" w:afterAutospacing="1"/>
        <w:ind w:left="720" w:hanging="360"/>
      </w:pPr>
      <w:r>
        <w:rPr>
          <w:b/>
        </w:rPr>
        <w:t>AI开发者</w:t>
      </w:r>
      <w:r>
        <w:t>：知行学为其提供市场需求信息和应用场景，帮助开发者明确研发方向，将技术转化为实际产品。</w:t>
      </w:r>
    </w:p>
    <w:p w14:paraId="734F3373">
      <w:pPr>
        <w:numPr>
          <w:ilvl w:val="0"/>
          <w:numId w:val="6"/>
        </w:numPr>
        <w:spacing w:before="0" w:beforeAutospacing="1" w:after="0" w:afterAutospacing="1"/>
        <w:ind w:left="720" w:hanging="360"/>
      </w:pPr>
      <w:r>
        <w:rPr>
          <w:b/>
        </w:rPr>
        <w:t>数据提供者</w:t>
      </w:r>
      <w:r>
        <w:t>：与知行学合作，将数据资源合理利用，实现数据的价值变现。</w:t>
      </w:r>
    </w:p>
    <w:p w14:paraId="6823292F">
      <w:pPr>
        <w:numPr>
          <w:ilvl w:val="0"/>
          <w:numId w:val="6"/>
        </w:numPr>
        <w:spacing w:before="0" w:beforeAutospacing="1" w:after="0" w:afterAutospacing="1"/>
        <w:ind w:left="720" w:hanging="360"/>
      </w:pPr>
      <w:r>
        <w:rPr>
          <w:b/>
        </w:rPr>
        <w:t>行业用户</w:t>
      </w:r>
      <w:r>
        <w:t>：通过知行学获取适合自身业务的AI智能体解决方案，提升业务效率和竞争力。</w:t>
      </w:r>
    </w:p>
    <w:p w14:paraId="0B451041">
      <w:r>
        <w:t>在“开放创新、合作共赢”核心价值观的指引下，知行学与各方建立长期稳定的合作关系。与AI开发者共同开展技术研发，与数据提供者签订数据共享协议，为行业用户提供持续的技术支持和服务，形成一个互利共赢的价值网络。</w:t>
      </w:r>
    </w:p>
    <w:p w14:paraId="5F09DBA7">
      <w:pPr>
        <w:pStyle w:val="4"/>
      </w:pPr>
      <w:r>
        <w:t>全球视野：参与AI智能体标准制定</w:t>
      </w:r>
    </w:p>
    <w:p w14:paraId="124A0EE3">
      <w:r>
        <w:t>知行学在长期的咨询实践中，积累了丰富的经验，这些经验能够转化为行业标准。例如，基于大量项目实践，构建智能体应用成熟度模型，为企业评估自身AI智能体应用水平提供参考。通过制定这样的标准，能够规范市场行为，促进行业的健康发展。</w:t>
      </w:r>
    </w:p>
    <w:p w14:paraId="3A276D71">
      <w:r>
        <w:t>在国际层面，知行学积极参与AI治理规则的制定，提升在国际规则制定中的话语权。这不仅有助于推动全球AI智能体行业的规范化发展，也为中国AI企业“走出去”创造有利的国际法律环境，巩固知行学在全球AI智能体创新应用领域的引领地位。</w:t>
      </w:r>
    </w:p>
    <w:p w14:paraId="5CA2A8F2">
      <w:r>
        <w:rPr>
          <w:rFonts w:hint="eastAsia"/>
          <w:lang w:val="en-US" w:eastAsia="zh-CN"/>
        </w:rPr>
        <w:t>清华大学特聘讲师、</w:t>
      </w:r>
      <w:r>
        <w:rPr>
          <w:rFonts w:hint="eastAsia"/>
        </w:rPr>
        <w:t>深圳知行学</w:t>
      </w:r>
      <w:r>
        <w:rPr>
          <w:rFonts w:hint="eastAsia"/>
          <w:lang w:val="en-US" w:eastAsia="zh-CN"/>
        </w:rPr>
        <w:t>AI智能体首席顾问坚鹏明确提出</w:t>
      </w:r>
      <w:r>
        <w:rPr>
          <w:rFonts w:hint="eastAsia" w:ascii="Arial" w:hAnsi="Arial" w:eastAsia="等线" w:cs="Arial"/>
          <w:sz w:val="22"/>
          <w:lang w:val="en-US" w:eastAsia="zh-CN"/>
        </w:rPr>
        <w:t>：</w:t>
      </w:r>
      <w:bookmarkStart w:id="5" w:name="_GoBack"/>
      <w:bookmarkEnd w:id="5"/>
      <w:r>
        <w:rPr>
          <w:rFonts w:hint="eastAsia"/>
        </w:rPr>
        <w:t>咨询的本质是创造“认知差-行动差-价值差”的连续势能。知行学以AI智能体咨询为支点，不仅撬动客户从“知道”到“做到”的鸿沟跨越，更在生态级合作中重新定义AI时代的增长法则——当技术成为普惠基础设施，驾驭AI的思维与实践智慧，才是这个时代最稀缺的竞争力。</w:t>
      </w:r>
    </w:p>
    <w:p w14:paraId="6314E75A"/>
    <w:bookmarkEnd w:id="4"/>
    <w:p w14:paraId="546469E0">
      <w:pPr>
        <w:pStyle w:val="6"/>
        <w:numPr>
          <w:ilvl w:val="4"/>
          <w:numId w:val="0"/>
        </w:numPr>
        <w:bidi w:val="0"/>
        <w:ind w:leftChars="0"/>
        <w:rPr>
          <w:rFonts w:hint="default"/>
          <w:lang w:val="en-US" w:eastAsia="zh-CN"/>
        </w:rPr>
      </w:pPr>
    </w:p>
    <w:sectPr>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86"/>
    <w:family w:val="auto"/>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Cambria">
    <w:panose1 w:val="02040503050406030204"/>
    <w:charset w:val="00"/>
    <w:family w:val="auto"/>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ind w:firstLine="480"/>
      </w:pPr>
      <w:r>
        <w:separator/>
      </w:r>
    </w:p>
  </w:footnote>
  <w:footnote w:type="continuationSeparator" w:id="1">
    <w:p>
      <w:pPr>
        <w:spacing w:before="0" w:after="0"/>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709B35"/>
    <w:multiLevelType w:val="multilevel"/>
    <w:tmpl w:val="D6709B35"/>
    <w:lvl w:ilvl="0" w:tentative="0">
      <w:start w:val="1"/>
      <w:numFmt w:val="chineseCounting"/>
      <w:suff w:val="nothing"/>
      <w:lvlText w:val="第%1章 "/>
      <w:lvlJc w:val="left"/>
      <w:pPr>
        <w:ind w:left="0" w:firstLine="402"/>
      </w:pPr>
      <w:rPr>
        <w:rFonts w:hint="eastAsia"/>
      </w:rPr>
    </w:lvl>
    <w:lvl w:ilvl="1" w:tentative="0">
      <w:start w:val="1"/>
      <w:numFmt w:val="chineseCounting"/>
      <w:pStyle w:val="3"/>
      <w:suff w:val="nothing"/>
      <w:lvlText w:val="%2、"/>
      <w:lvlJc w:val="left"/>
      <w:pPr>
        <w:ind w:left="0" w:firstLine="402"/>
      </w:pPr>
      <w:rPr>
        <w:rFonts w:hint="eastAsia"/>
      </w:rPr>
    </w:lvl>
    <w:lvl w:ilvl="2" w:tentative="0">
      <w:start w:val="1"/>
      <w:numFmt w:val="decimal"/>
      <w:pStyle w:val="4"/>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F632AAEC"/>
    <w:multiLevelType w:val="singleLevel"/>
    <w:tmpl w:val="F632AAEC"/>
    <w:lvl w:ilvl="0" w:tentative="0">
      <w:start w:val="1"/>
      <w:numFmt w:val="bullet"/>
      <w:lvlText w:val=""/>
      <w:lvlJc w:val="left"/>
      <w:pPr>
        <w:ind w:left="720" w:hanging="360"/>
      </w:pPr>
      <w:rPr>
        <w:rFonts w:hint="default" w:ascii="Symbol" w:hAnsi="Symbol" w:cs="Symbol"/>
        <w:sz w:val="20"/>
      </w:rPr>
    </w:lvl>
  </w:abstractNum>
  <w:abstractNum w:abstractNumId="2">
    <w:nsid w:val="FD7E186D"/>
    <w:multiLevelType w:val="singleLevel"/>
    <w:tmpl w:val="FD7E186D"/>
    <w:lvl w:ilvl="0" w:tentative="0">
      <w:start w:val="1"/>
      <w:numFmt w:val="bullet"/>
      <w:lvlText w:val=""/>
      <w:lvlJc w:val="left"/>
      <w:pPr>
        <w:ind w:left="720" w:hanging="360"/>
      </w:pPr>
      <w:rPr>
        <w:rFonts w:hint="default" w:ascii="Symbol" w:hAnsi="Symbol" w:cs="Symbol"/>
        <w:sz w:val="20"/>
      </w:rPr>
    </w:lvl>
  </w:abstractNum>
  <w:abstractNum w:abstractNumId="3">
    <w:nsid w:val="FDBE8908"/>
    <w:multiLevelType w:val="singleLevel"/>
    <w:tmpl w:val="FDBE8908"/>
    <w:lvl w:ilvl="0" w:tentative="0">
      <w:start w:val="1"/>
      <w:numFmt w:val="bullet"/>
      <w:lvlText w:val=""/>
      <w:lvlJc w:val="left"/>
      <w:pPr>
        <w:ind w:left="720" w:hanging="360"/>
      </w:pPr>
      <w:rPr>
        <w:rFonts w:hint="default" w:ascii="Symbol" w:hAnsi="Symbol" w:cs="Symbol"/>
        <w:sz w:val="20"/>
      </w:rPr>
    </w:lvl>
  </w:abstractNum>
  <w:abstractNum w:abstractNumId="4">
    <w:nsid w:val="FDDD7BAC"/>
    <w:multiLevelType w:val="singleLevel"/>
    <w:tmpl w:val="FDDD7BAC"/>
    <w:lvl w:ilvl="0" w:tentative="0">
      <w:start w:val="1"/>
      <w:numFmt w:val="bullet"/>
      <w:lvlText w:val=""/>
      <w:lvlJc w:val="left"/>
      <w:pPr>
        <w:ind w:left="720" w:hanging="360"/>
      </w:pPr>
      <w:rPr>
        <w:rFonts w:hint="default" w:ascii="Symbol" w:hAnsi="Symbol" w:cs="Symbol"/>
        <w:sz w:val="20"/>
      </w:rPr>
    </w:lvl>
  </w:abstractNum>
  <w:abstractNum w:abstractNumId="5">
    <w:nsid w:val="29AA8454"/>
    <w:multiLevelType w:val="multilevel"/>
    <w:tmpl w:val="29AA8454"/>
    <w:lvl w:ilvl="0" w:tentative="0">
      <w:start w:val="1"/>
      <w:numFmt w:val="chineseCounting"/>
      <w:suff w:val="nothing"/>
      <w:lvlText w:val="%1、"/>
      <w:lvlJc w:val="left"/>
      <w:pPr>
        <w:tabs>
          <w:tab w:val="left" w:pos="0"/>
        </w:tabs>
        <w:ind w:left="0" w:firstLine="0"/>
      </w:pPr>
      <w:rPr>
        <w:rFonts w:hint="eastAsia" w:ascii="黑体" w:hAnsi="黑体" w:eastAsia="黑体"/>
      </w:rPr>
    </w:lvl>
    <w:lvl w:ilvl="1" w:tentative="0">
      <w:start w:val="1"/>
      <w:numFmt w:val="chineseCounting"/>
      <w:suff w:val="nothing"/>
      <w:lvlText w:val="（%2）"/>
      <w:lvlJc w:val="left"/>
      <w:pPr>
        <w:tabs>
          <w:tab w:val="left" w:pos="0"/>
        </w:tabs>
        <w:ind w:left="0" w:firstLine="0"/>
      </w:pPr>
      <w:rPr>
        <w:rFonts w:hint="eastAsia" w:ascii="黑体" w:hAnsi="黑体" w:eastAsia="黑体"/>
      </w:rPr>
    </w:lvl>
    <w:lvl w:ilvl="2" w:tentative="0">
      <w:start w:val="1"/>
      <w:numFmt w:val="decimal"/>
      <w:suff w:val="nothing"/>
      <w:lvlText w:val="%3．"/>
      <w:lvlJc w:val="left"/>
      <w:pPr>
        <w:tabs>
          <w:tab w:val="left" w:pos="0"/>
        </w:tabs>
        <w:ind w:left="0" w:firstLine="400"/>
      </w:pPr>
      <w:rPr>
        <w:rFonts w:hint="eastAsia" w:ascii="黑体" w:hAnsi="黑体" w:eastAsia="黑体"/>
      </w:rPr>
    </w:lvl>
    <w:lvl w:ilvl="3" w:tentative="0">
      <w:start w:val="1"/>
      <w:numFmt w:val="decimal"/>
      <w:pStyle w:val="5"/>
      <w:suff w:val="nothing"/>
      <w:lvlText w:val="（%4）"/>
      <w:lvlJc w:val="left"/>
      <w:pPr>
        <w:tabs>
          <w:tab w:val="left" w:pos="0"/>
        </w:tabs>
        <w:ind w:left="0" w:firstLine="402"/>
      </w:pPr>
      <w:rPr>
        <w:rFonts w:hint="eastAsia" w:ascii="黑体" w:hAnsi="黑体" w:eastAsia="黑体"/>
      </w:rPr>
    </w:lvl>
    <w:lvl w:ilvl="4" w:tentative="0">
      <w:start w:val="1"/>
      <w:numFmt w:val="decimalEnclosedCircleChinese"/>
      <w:pStyle w:val="6"/>
      <w:suff w:val="nothing"/>
      <w:lvlText w:val="%5"/>
      <w:lvlJc w:val="left"/>
      <w:pPr>
        <w:tabs>
          <w:tab w:val="left" w:pos="0"/>
        </w:tabs>
        <w:ind w:left="0" w:firstLine="402"/>
      </w:pPr>
      <w:rPr>
        <w:rFonts w:hint="eastAsia" w:ascii="黑体" w:hAnsi="黑体" w:eastAsia="黑体"/>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num w:numId="1">
    <w:abstractNumId w:val="0"/>
  </w:num>
  <w:num w:numId="2">
    <w:abstractNumId w:val="5"/>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NotTrackMoves/>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splitPgBreakAndParaMark/>
    <w:compatSetting w:name="compatibilityMode" w:uri="http://schemas.microsoft.com/office/word" w:val="12"/>
  </w:compat>
  <w:docVars>
    <w:docVar w:name="commondata" w:val="eyJoZGlkIjoiOTgxM2RjOGM4NmFhZTkyOTlkMmE4MWQ0Zjg2YjZhY2IifQ=="/>
  </w:docVars>
  <w:rsids>
    <w:rsidRoot w:val="00000000"/>
    <w:rsid w:val="009B6912"/>
    <w:rsid w:val="021B6523"/>
    <w:rsid w:val="05726DA2"/>
    <w:rsid w:val="05B44CC5"/>
    <w:rsid w:val="091066B6"/>
    <w:rsid w:val="0C4548C9"/>
    <w:rsid w:val="0D0429D6"/>
    <w:rsid w:val="0D480EBF"/>
    <w:rsid w:val="0D570D57"/>
    <w:rsid w:val="0EE7435D"/>
    <w:rsid w:val="10254AFF"/>
    <w:rsid w:val="13474EA9"/>
    <w:rsid w:val="17682CC6"/>
    <w:rsid w:val="17872A04"/>
    <w:rsid w:val="1A4E4275"/>
    <w:rsid w:val="1A5F56EF"/>
    <w:rsid w:val="1D5030CD"/>
    <w:rsid w:val="1E764DB5"/>
    <w:rsid w:val="1FC85AE5"/>
    <w:rsid w:val="20356C53"/>
    <w:rsid w:val="21110DC5"/>
    <w:rsid w:val="225D0766"/>
    <w:rsid w:val="22AE0FC2"/>
    <w:rsid w:val="23745A0F"/>
    <w:rsid w:val="26E054C2"/>
    <w:rsid w:val="26E66850"/>
    <w:rsid w:val="281564D9"/>
    <w:rsid w:val="2BC96E6C"/>
    <w:rsid w:val="2C6D7571"/>
    <w:rsid w:val="2E4C168F"/>
    <w:rsid w:val="2EF37D5C"/>
    <w:rsid w:val="315C7E3B"/>
    <w:rsid w:val="369A3491"/>
    <w:rsid w:val="379D2F5B"/>
    <w:rsid w:val="3ABE56C2"/>
    <w:rsid w:val="3E4C043C"/>
    <w:rsid w:val="3ECF7E9E"/>
    <w:rsid w:val="3FEA17AB"/>
    <w:rsid w:val="40C003E6"/>
    <w:rsid w:val="410B542B"/>
    <w:rsid w:val="41686388"/>
    <w:rsid w:val="420C765B"/>
    <w:rsid w:val="427B35B9"/>
    <w:rsid w:val="43326C4D"/>
    <w:rsid w:val="435B43F6"/>
    <w:rsid w:val="436F39FE"/>
    <w:rsid w:val="43B104BA"/>
    <w:rsid w:val="45B00A41"/>
    <w:rsid w:val="45E32481"/>
    <w:rsid w:val="48D569F9"/>
    <w:rsid w:val="4913307D"/>
    <w:rsid w:val="4C017B05"/>
    <w:rsid w:val="4D62478F"/>
    <w:rsid w:val="4E3441C2"/>
    <w:rsid w:val="4FCC21D8"/>
    <w:rsid w:val="4FD75668"/>
    <w:rsid w:val="526B217C"/>
    <w:rsid w:val="53D61877"/>
    <w:rsid w:val="55426F5C"/>
    <w:rsid w:val="566C201F"/>
    <w:rsid w:val="57AF2B0B"/>
    <w:rsid w:val="58DC348C"/>
    <w:rsid w:val="59C10AB4"/>
    <w:rsid w:val="5B800A46"/>
    <w:rsid w:val="5CD83D60"/>
    <w:rsid w:val="5D327B1E"/>
    <w:rsid w:val="5E40270F"/>
    <w:rsid w:val="5F535320"/>
    <w:rsid w:val="60597AB8"/>
    <w:rsid w:val="613A51F3"/>
    <w:rsid w:val="62A17742"/>
    <w:rsid w:val="63972DD1"/>
    <w:rsid w:val="63BA261B"/>
    <w:rsid w:val="6401649C"/>
    <w:rsid w:val="64F102BF"/>
    <w:rsid w:val="65907A54"/>
    <w:rsid w:val="662841B4"/>
    <w:rsid w:val="69DF4B8A"/>
    <w:rsid w:val="6AEC1C54"/>
    <w:rsid w:val="6C4433CA"/>
    <w:rsid w:val="6D5E04BB"/>
    <w:rsid w:val="6FC25058"/>
    <w:rsid w:val="74510D7A"/>
    <w:rsid w:val="75BC2223"/>
    <w:rsid w:val="777A05E8"/>
    <w:rsid w:val="78BB0EB8"/>
    <w:rsid w:val="79050385"/>
    <w:rsid w:val="79570BE0"/>
    <w:rsid w:val="7A3E76AA"/>
    <w:rsid w:val="7A460C55"/>
    <w:rsid w:val="7AC24305"/>
    <w:rsid w:val="7B6C46EB"/>
    <w:rsid w:val="7C611D76"/>
    <w:rsid w:val="7C8E41F3"/>
    <w:rsid w:val="7F032C71"/>
    <w:rsid w:val="FFFB15FF"/>
  </w:rsids>
  <m:mathPr>
    <m:mathFont m:val="Cambria Math"/>
    <m:brkBin m:val="before"/>
    <m:brkBinSub m:val="--"/>
    <m:smallFrac m:val="0"/>
    <m:dispDef/>
    <m:lMargin m:val="0"/>
    <m:rMargin m:val="0"/>
    <m:defJc m:val="centerGroup"/>
    <m:wrapRight m:val="1"/>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80" w:beforeAutospacing="0" w:after="180" w:afterAutospacing="0"/>
      <w:ind w:firstLine="480" w:firstLineChars="200"/>
      <w:jc w:val="both"/>
    </w:pPr>
    <w:rPr>
      <w:rFonts w:ascii="微软雅黑" w:hAnsi="微软雅黑" w:eastAsia="微软雅黑" w:cstheme="minorBidi"/>
      <w:sz w:val="24"/>
      <w:szCs w:val="24"/>
      <w:lang w:val="en-US" w:eastAsia="en-US" w:bidi="ar-SA"/>
    </w:rPr>
  </w:style>
  <w:style w:type="paragraph" w:styleId="2">
    <w:name w:val="heading 1"/>
    <w:basedOn w:val="1"/>
    <w:qFormat/>
    <w:uiPriority w:val="9"/>
    <w:pPr>
      <w:keepNext/>
      <w:keepLines/>
      <w:numPr>
        <w:ilvl w:val="0"/>
        <w:numId w:val="0"/>
      </w:numPr>
      <w:tabs>
        <w:tab w:val="left" w:pos="0"/>
      </w:tabs>
      <w:spacing w:before="480" w:beforeAutospacing="0" w:after="0" w:afterAutospacing="0"/>
      <w:jc w:val="center"/>
      <w:outlineLvl w:val="0"/>
    </w:pPr>
    <w:rPr>
      <w:rFonts w:cstheme="majorBidi"/>
      <w:b/>
      <w:bCs/>
      <w:color w:val="auto"/>
      <w:sz w:val="32"/>
      <w:szCs w:val="32"/>
    </w:rPr>
  </w:style>
  <w:style w:type="paragraph" w:styleId="3">
    <w:name w:val="heading 2"/>
    <w:basedOn w:val="1"/>
    <w:unhideWhenUsed/>
    <w:qFormat/>
    <w:uiPriority w:val="9"/>
    <w:pPr>
      <w:keepNext/>
      <w:keepLines/>
      <w:numPr>
        <w:ilvl w:val="1"/>
        <w:numId w:val="1"/>
      </w:numPr>
      <w:tabs>
        <w:tab w:val="left" w:pos="0"/>
      </w:tabs>
      <w:spacing w:before="200" w:beforeAutospacing="0" w:after="0" w:afterAutospacing="0"/>
      <w:ind w:firstLine="0" w:firstLineChars="0"/>
      <w:outlineLvl w:val="1"/>
    </w:pPr>
    <w:rPr>
      <w:rFonts w:cstheme="majorBidi"/>
      <w:b/>
      <w:bCs/>
      <w:color w:val="auto"/>
      <w:sz w:val="28"/>
      <w:szCs w:val="28"/>
    </w:rPr>
  </w:style>
  <w:style w:type="paragraph" w:styleId="4">
    <w:name w:val="heading 3"/>
    <w:basedOn w:val="1"/>
    <w:unhideWhenUsed/>
    <w:qFormat/>
    <w:uiPriority w:val="9"/>
    <w:pPr>
      <w:keepNext/>
      <w:keepLines/>
      <w:numPr>
        <w:ilvl w:val="2"/>
        <w:numId w:val="1"/>
      </w:numPr>
      <w:tabs>
        <w:tab w:val="left" w:pos="0"/>
      </w:tabs>
      <w:spacing w:before="200" w:beforeAutospacing="0" w:after="0" w:afterAutospacing="0"/>
      <w:ind w:firstLine="0" w:firstLineChars="0"/>
      <w:outlineLvl w:val="2"/>
    </w:pPr>
    <w:rPr>
      <w:rFonts w:cstheme="majorBidi"/>
      <w:b/>
      <w:bCs/>
      <w:color w:val="auto"/>
    </w:rPr>
  </w:style>
  <w:style w:type="paragraph" w:styleId="5">
    <w:name w:val="heading 4"/>
    <w:basedOn w:val="1"/>
    <w:unhideWhenUsed/>
    <w:qFormat/>
    <w:uiPriority w:val="9"/>
    <w:pPr>
      <w:keepNext/>
      <w:keepLines/>
      <w:numPr>
        <w:ilvl w:val="3"/>
        <w:numId w:val="2"/>
      </w:numPr>
      <w:spacing w:before="200" w:beforeAutospacing="0" w:after="0" w:afterAutospacing="0"/>
      <w:ind w:firstLine="0" w:firstLineChars="0"/>
      <w:outlineLvl w:val="3"/>
    </w:pPr>
    <w:rPr>
      <w:rFonts w:cstheme="majorBidi"/>
      <w:bCs/>
      <w:i/>
      <w:color w:val="auto"/>
    </w:rPr>
  </w:style>
  <w:style w:type="paragraph" w:styleId="6">
    <w:name w:val="heading 5"/>
    <w:basedOn w:val="1"/>
    <w:unhideWhenUsed/>
    <w:qFormat/>
    <w:uiPriority w:val="9"/>
    <w:pPr>
      <w:keepNext/>
      <w:keepLines/>
      <w:numPr>
        <w:ilvl w:val="4"/>
        <w:numId w:val="2"/>
      </w:numPr>
      <w:spacing w:before="200" w:beforeAutospacing="0" w:after="0" w:afterAutospacing="0"/>
      <w:ind w:firstLine="0" w:firstLineChars="0"/>
      <w:outlineLvl w:val="4"/>
    </w:pPr>
    <w:rPr>
      <w:rFonts w:cstheme="majorBidi"/>
      <w:iCs/>
      <w:color w:val="auto"/>
    </w:rPr>
  </w:style>
  <w:style w:type="paragraph" w:styleId="7">
    <w:name w:val="heading 6"/>
    <w:basedOn w:val="1"/>
    <w:unhideWhenUsed/>
    <w:qFormat/>
    <w:uiPriority w:val="9"/>
    <w:pPr>
      <w:keepNext/>
      <w:keepLines/>
      <w:numPr>
        <w:ilvl w:val="5"/>
        <w:numId w:val="2"/>
      </w:numPr>
      <w:spacing w:before="200" w:beforeAutospacing="0" w:after="0" w:afterAutospacing="0"/>
      <w:ind w:firstLine="0" w:firstLineChars="0"/>
      <w:outlineLvl w:val="5"/>
    </w:pPr>
    <w:rPr>
      <w:rFonts w:cstheme="majorBidi"/>
      <w:color w:val="auto"/>
    </w:rPr>
  </w:style>
  <w:style w:type="paragraph" w:styleId="8">
    <w:name w:val="heading 7"/>
    <w:basedOn w:val="1"/>
    <w:unhideWhenUsed/>
    <w:qFormat/>
    <w:uiPriority w:val="9"/>
    <w:pPr>
      <w:keepNext/>
      <w:keepLines/>
      <w:numPr>
        <w:ilvl w:val="6"/>
        <w:numId w:val="2"/>
      </w:numPr>
      <w:spacing w:before="200" w:beforeAutospacing="0" w:after="0" w:afterAutospacing="0"/>
      <w:ind w:firstLine="0" w:firstLineChars="0"/>
      <w:outlineLvl w:val="6"/>
    </w:pPr>
    <w:rPr>
      <w:rFonts w:cstheme="majorBidi"/>
      <w:color w:val="auto"/>
    </w:rPr>
  </w:style>
  <w:style w:type="paragraph" w:styleId="9">
    <w:name w:val="heading 8"/>
    <w:basedOn w:val="1"/>
    <w:unhideWhenUsed/>
    <w:qFormat/>
    <w:uiPriority w:val="9"/>
    <w:pPr>
      <w:keepNext/>
      <w:keepLines/>
      <w:numPr>
        <w:ilvl w:val="7"/>
        <w:numId w:val="2"/>
      </w:numPr>
      <w:spacing w:before="200" w:beforeAutospacing="0" w:after="0" w:afterAutospacing="0"/>
      <w:ind w:firstLine="0" w:firstLineChars="0"/>
      <w:outlineLvl w:val="7"/>
    </w:pPr>
    <w:rPr>
      <w:rFonts w:cstheme="majorBidi"/>
      <w:color w:val="auto"/>
    </w:rPr>
  </w:style>
  <w:style w:type="paragraph" w:styleId="10">
    <w:name w:val="heading 9"/>
    <w:basedOn w:val="1"/>
    <w:unhideWhenUsed/>
    <w:qFormat/>
    <w:uiPriority w:val="9"/>
    <w:pPr>
      <w:keepNext/>
      <w:keepLines/>
      <w:numPr>
        <w:ilvl w:val="8"/>
        <w:numId w:val="2"/>
      </w:numPr>
      <w:spacing w:before="200" w:beforeAutospacing="0" w:after="0" w:afterAutospacing="0"/>
      <w:ind w:firstLine="0" w:firstLineChars="0"/>
      <w:outlineLvl w:val="8"/>
    </w:pPr>
    <w:rPr>
      <w:rFonts w:cstheme="majorBidi"/>
      <w:color w:val="auto"/>
    </w:rPr>
  </w:style>
  <w:style w:type="character" w:default="1" w:styleId="19">
    <w:name w:val="Default Paragraph Font"/>
    <w:semiHidden/>
    <w:unhideWhenUsed/>
    <w:qFormat/>
    <w:uiPriority w:val="0"/>
  </w:style>
  <w:style w:type="table" w:default="1" w:styleId="18">
    <w:name w:val="Normal Table"/>
    <w:qFormat/>
    <w:uiPriority w:val="0"/>
    <w:tblPr>
      <w:tblCellMar>
        <w:top w:w="0" w:type="dxa"/>
        <w:left w:w="108" w:type="dxa"/>
        <w:bottom w:w="0" w:type="dxa"/>
        <w:right w:w="108" w:type="dxa"/>
      </w:tblCellMar>
    </w:tblPr>
  </w:style>
  <w:style w:type="paragraph" w:styleId="11">
    <w:name w:val="caption"/>
    <w:basedOn w:val="1"/>
    <w:qFormat/>
    <w:uiPriority w:val="0"/>
    <w:pPr>
      <w:spacing w:before="0" w:after="120"/>
    </w:pPr>
    <w:rPr>
      <w:i/>
    </w:rPr>
  </w:style>
  <w:style w:type="paragraph" w:styleId="12">
    <w:name w:val="Block Text"/>
    <w:unhideWhenUsed/>
    <w:qFormat/>
    <w:uiPriority w:val="9"/>
    <w:pPr>
      <w:spacing w:before="100" w:after="100"/>
      <w:ind w:left="480" w:right="480" w:firstLine="0"/>
    </w:pPr>
    <w:rPr>
      <w:rFonts w:ascii="Times New Roman" w:hAnsi="Times New Roman" w:eastAsia="宋体" w:cs="Times New Roman"/>
    </w:rPr>
  </w:style>
  <w:style w:type="paragraph" w:styleId="13">
    <w:name w:val="Date"/>
    <w:qFormat/>
    <w:uiPriority w:val="0"/>
    <w:pPr>
      <w:keepNext/>
      <w:keepLines/>
      <w:spacing w:after="200"/>
      <w:jc w:val="center"/>
    </w:pPr>
    <w:rPr>
      <w:rFonts w:ascii="微软雅黑" w:hAnsi="微软雅黑" w:eastAsia="微软雅黑" w:cstheme="minorBidi"/>
      <w:sz w:val="24"/>
      <w:szCs w:val="24"/>
      <w:lang w:val="en-US" w:eastAsia="en-US" w:bidi="ar-SA"/>
    </w:rPr>
  </w:style>
  <w:style w:type="paragraph" w:styleId="14">
    <w:name w:val="Subtitle"/>
    <w:basedOn w:val="15"/>
    <w:qFormat/>
    <w:uiPriority w:val="0"/>
    <w:pPr>
      <w:keepNext/>
      <w:keepLines/>
      <w:spacing w:before="240" w:after="240"/>
      <w:jc w:val="center"/>
    </w:pPr>
    <w:rPr>
      <w:rFonts w:ascii="微软雅黑" w:hAnsi="微软雅黑"/>
      <w:sz w:val="30"/>
      <w:szCs w:val="30"/>
    </w:rPr>
  </w:style>
  <w:style w:type="paragraph" w:styleId="15">
    <w:name w:val="Title"/>
    <w:basedOn w:val="1"/>
    <w:qFormat/>
    <w:uiPriority w:val="0"/>
    <w:pPr>
      <w:keepNext/>
      <w:keepLines/>
      <w:spacing w:before="60"/>
      <w:ind w:firstLine="0" w:firstLineChars="0"/>
      <w:jc w:val="center"/>
    </w:pPr>
    <w:rPr>
      <w:rFonts w:cstheme="majorBidi"/>
      <w:b/>
      <w:bCs/>
      <w:color w:val="auto"/>
      <w:sz w:val="36"/>
      <w:szCs w:val="36"/>
    </w:rPr>
  </w:style>
  <w:style w:type="paragraph" w:styleId="16">
    <w:name w:val="footnote text"/>
    <w:basedOn w:val="1"/>
    <w:unhideWhenUsed/>
    <w:qFormat/>
    <w:uiPriority w:val="9"/>
    <w:rPr>
      <w:rFonts w:ascii="微软雅黑" w:hAnsi="微软雅黑" w:eastAsia="微软雅黑"/>
    </w:rPr>
  </w:style>
  <w:style w:type="paragraph" w:styleId="17">
    <w:name w:val="Normal (Web)"/>
    <w:basedOn w:val="1"/>
    <w:qFormat/>
    <w:uiPriority w:val="0"/>
    <w:pPr>
      <w:spacing w:before="-2147483648" w:beforeAutospacing="1" w:after="-2147483648" w:afterAutospacing="1"/>
      <w:ind w:left="0" w:right="0" w:firstLine="560" w:firstLineChars="200"/>
      <w:jc w:val="both"/>
    </w:pPr>
    <w:rPr>
      <w:rFonts w:ascii="微软雅黑" w:hAnsi="微软雅黑" w:eastAsia="微软雅黑"/>
      <w:lang w:eastAsia="zh-CN" w:bidi="ar"/>
    </w:rPr>
  </w:style>
  <w:style w:type="character" w:styleId="20">
    <w:name w:val="Hyperlink"/>
    <w:qFormat/>
    <w:uiPriority w:val="0"/>
    <w:rPr>
      <w:color w:val="0070C0"/>
      <w:u w:val="single"/>
    </w:rPr>
  </w:style>
  <w:style w:type="character" w:styleId="21">
    <w:name w:val="footnote reference"/>
    <w:qFormat/>
    <w:uiPriority w:val="0"/>
    <w:rPr>
      <w:vertAlign w:val="superscript"/>
    </w:rPr>
  </w:style>
  <w:style w:type="paragraph" w:customStyle="1" w:styleId="22">
    <w:name w:val="First Paragraph"/>
    <w:qFormat/>
    <w:uiPriority w:val="0"/>
    <w:pPr>
      <w:ind w:firstLine="720" w:firstLineChars="200"/>
      <w:jc w:val="both"/>
    </w:pPr>
    <w:rPr>
      <w:rFonts w:ascii="Times New Roman" w:hAnsi="Times New Roman" w:eastAsia="宋体" w:cs="Times New Roman"/>
    </w:rPr>
  </w:style>
  <w:style w:type="paragraph" w:customStyle="1" w:styleId="23">
    <w:name w:val="Compact"/>
    <w:qFormat/>
    <w:uiPriority w:val="0"/>
    <w:pPr>
      <w:spacing w:before="36" w:after="36"/>
    </w:pPr>
    <w:rPr>
      <w:rFonts w:ascii="Times New Roman" w:hAnsi="Times New Roman" w:eastAsia="宋体" w:cs="Times New Roman"/>
    </w:rPr>
  </w:style>
  <w:style w:type="paragraph" w:customStyle="1" w:styleId="24">
    <w:name w:val="Author"/>
    <w:qFormat/>
    <w:uiPriority w:val="0"/>
    <w:pPr>
      <w:keepNext/>
      <w:keepLines/>
      <w:spacing w:after="200"/>
      <w:jc w:val="center"/>
    </w:pPr>
    <w:rPr>
      <w:rFonts w:ascii="微软雅黑" w:hAnsi="微软雅黑" w:eastAsia="微软雅黑" w:cstheme="minorBidi"/>
      <w:sz w:val="24"/>
      <w:szCs w:val="24"/>
      <w:lang w:val="en-US" w:eastAsia="en-US" w:bidi="ar-SA"/>
    </w:rPr>
  </w:style>
  <w:style w:type="paragraph" w:customStyle="1" w:styleId="25">
    <w:name w:val="Abstract Title"/>
    <w:basedOn w:val="1"/>
    <w:next w:val="26"/>
    <w:qFormat/>
    <w:uiPriority w:val="0"/>
    <w:pPr>
      <w:keepNext/>
      <w:keepLines/>
      <w:spacing w:before="300" w:after="0"/>
      <w:jc w:val="center"/>
    </w:pPr>
    <w:rPr>
      <w:b/>
      <w:color w:val="345A8A"/>
      <w:sz w:val="20"/>
      <w:szCs w:val="20"/>
    </w:rPr>
  </w:style>
  <w:style w:type="paragraph" w:customStyle="1" w:styleId="26">
    <w:name w:val="Abstract"/>
    <w:basedOn w:val="1"/>
    <w:qFormat/>
    <w:uiPriority w:val="0"/>
    <w:pPr>
      <w:keepNext/>
      <w:keepLines/>
      <w:spacing w:before="100" w:after="300"/>
    </w:pPr>
    <w:rPr>
      <w:rFonts w:ascii="微软雅黑" w:hAnsi="微软雅黑" w:eastAsia="微软雅黑"/>
      <w:sz w:val="20"/>
      <w:szCs w:val="20"/>
    </w:rPr>
  </w:style>
  <w:style w:type="paragraph" w:customStyle="1" w:styleId="27">
    <w:name w:val="Bibliography"/>
    <w:basedOn w:val="1"/>
    <w:qFormat/>
    <w:uiPriority w:val="0"/>
  </w:style>
  <w:style w:type="paragraph" w:customStyle="1" w:styleId="28">
    <w:name w:val="Footnote Block Text"/>
    <w:unhideWhenUsed/>
    <w:qFormat/>
    <w:uiPriority w:val="9"/>
    <w:pPr>
      <w:spacing w:before="100" w:after="100"/>
      <w:ind w:left="480" w:right="480" w:firstLine="0"/>
    </w:pPr>
    <w:rPr>
      <w:rFonts w:asciiTheme="minorHAnsi" w:hAnsiTheme="minorHAnsi" w:eastAsiaTheme="minorHAnsi" w:cstheme="minorBidi"/>
      <w:sz w:val="24"/>
      <w:szCs w:val="24"/>
      <w:lang w:val="en-US" w:eastAsia="en-US" w:bidi="ar-SA"/>
    </w:rPr>
  </w:style>
  <w:style w:type="table" w:customStyle="1" w:styleId="29">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30">
    <w:name w:val="Definition Term"/>
    <w:basedOn w:val="1"/>
    <w:next w:val="31"/>
    <w:qFormat/>
    <w:uiPriority w:val="0"/>
    <w:pPr>
      <w:keepNext/>
      <w:keepLines/>
      <w:spacing w:after="0"/>
    </w:pPr>
    <w:rPr>
      <w:rFonts w:ascii="微软雅黑" w:hAnsi="微软雅黑" w:eastAsia="微软雅黑"/>
      <w:b/>
    </w:rPr>
  </w:style>
  <w:style w:type="paragraph" w:customStyle="1" w:styleId="31">
    <w:name w:val="Definition"/>
    <w:basedOn w:val="1"/>
    <w:qFormat/>
    <w:uiPriority w:val="0"/>
    <w:rPr>
      <w:rFonts w:ascii="微软雅黑" w:hAnsi="微软雅黑" w:eastAsia="微软雅黑"/>
    </w:rPr>
  </w:style>
  <w:style w:type="paragraph" w:customStyle="1" w:styleId="32">
    <w:name w:val="Table Caption"/>
    <w:basedOn w:val="11"/>
    <w:qFormat/>
    <w:uiPriority w:val="0"/>
    <w:pPr>
      <w:keepNext/>
    </w:pPr>
    <w:rPr>
      <w:rFonts w:ascii="微软雅黑" w:hAnsi="微软雅黑" w:eastAsia="微软雅黑"/>
    </w:rPr>
  </w:style>
  <w:style w:type="paragraph" w:customStyle="1" w:styleId="33">
    <w:name w:val="Image Caption"/>
    <w:basedOn w:val="11"/>
    <w:qFormat/>
    <w:uiPriority w:val="0"/>
    <w:rPr>
      <w:rFonts w:ascii="微软雅黑" w:hAnsi="微软雅黑" w:eastAsia="微软雅黑"/>
    </w:rPr>
  </w:style>
  <w:style w:type="paragraph" w:customStyle="1" w:styleId="34">
    <w:name w:val="Figure"/>
    <w:basedOn w:val="1"/>
    <w:qFormat/>
    <w:uiPriority w:val="0"/>
  </w:style>
  <w:style w:type="paragraph" w:customStyle="1" w:styleId="35">
    <w:name w:val="Captioned Figure"/>
    <w:basedOn w:val="34"/>
    <w:qFormat/>
    <w:uiPriority w:val="0"/>
    <w:pPr>
      <w:keepNext/>
    </w:pPr>
  </w:style>
  <w:style w:type="character" w:customStyle="1" w:styleId="36">
    <w:name w:val="Verbatim Char"/>
    <w:qFormat/>
    <w:uiPriority w:val="0"/>
    <w:rPr>
      <w:rFonts w:ascii="Consolas" w:hAnsi="Consolas"/>
      <w:sz w:val="22"/>
    </w:rPr>
  </w:style>
  <w:style w:type="character" w:customStyle="1" w:styleId="37">
    <w:name w:val="Section Number"/>
    <w:qFormat/>
    <w:uiPriority w:val="0"/>
  </w:style>
  <w:style w:type="paragraph" w:customStyle="1" w:styleId="38">
    <w:name w:val="TOC Heading"/>
    <w:basedOn w:val="2"/>
    <w:unhideWhenUsed/>
    <w:qFormat/>
    <w:uiPriority w:val="39"/>
    <w:pPr>
      <w:spacing w:before="240" w:line="259" w:lineRule="auto"/>
      <w:outlineLvl w:val="9"/>
    </w:pPr>
    <w:rPr>
      <w:rFonts w:asciiTheme="majorHAnsi" w:hAnsiTheme="majorHAnsi" w:eastAsiaTheme="majorEastAsia" w:cstheme="majorBidi"/>
      <w:b w:val="0"/>
      <w:bCs w:val="0"/>
      <w:color w:val="366091" w:themeColor="accent1" w:themeShade="BF"/>
    </w:rPr>
  </w:style>
  <w:style w:type="paragraph" w:customStyle="1" w:styleId="39">
    <w:name w:val="Source Code"/>
    <w:qFormat/>
    <w:uiPriority w:val="0"/>
    <w:pPr>
      <w:wordWrap w:val="0"/>
    </w:pPr>
    <w:rPr>
      <w:rFonts w:asciiTheme="minorHAnsi" w:hAnsiTheme="minorHAnsi" w:eastAsiaTheme="minorHAnsi" w:cstheme="minorBidi"/>
    </w:rPr>
  </w:style>
  <w:style w:type="character" w:customStyle="1" w:styleId="40">
    <w:name w:val="KeywordTok"/>
    <w:qFormat/>
    <w:uiPriority w:val="0"/>
    <w:rPr>
      <w:b/>
      <w:color w:val="007020"/>
    </w:rPr>
  </w:style>
  <w:style w:type="character" w:customStyle="1" w:styleId="41">
    <w:name w:val="DataTypeTok"/>
    <w:qFormat/>
    <w:uiPriority w:val="0"/>
    <w:rPr>
      <w:color w:val="902000"/>
    </w:rPr>
  </w:style>
  <w:style w:type="character" w:customStyle="1" w:styleId="42">
    <w:name w:val="DecValTok"/>
    <w:qFormat/>
    <w:uiPriority w:val="0"/>
    <w:rPr>
      <w:color w:val="40A070"/>
    </w:rPr>
  </w:style>
  <w:style w:type="character" w:customStyle="1" w:styleId="43">
    <w:name w:val="BaseNTok"/>
    <w:qFormat/>
    <w:uiPriority w:val="0"/>
    <w:rPr>
      <w:color w:val="40A070"/>
    </w:rPr>
  </w:style>
  <w:style w:type="character" w:customStyle="1" w:styleId="44">
    <w:name w:val="FloatTok"/>
    <w:qFormat/>
    <w:uiPriority w:val="0"/>
    <w:rPr>
      <w:color w:val="40A070"/>
    </w:rPr>
  </w:style>
  <w:style w:type="character" w:customStyle="1" w:styleId="45">
    <w:name w:val="ConstantTok"/>
    <w:qFormat/>
    <w:uiPriority w:val="0"/>
    <w:rPr>
      <w:color w:val="880000"/>
    </w:rPr>
  </w:style>
  <w:style w:type="character" w:customStyle="1" w:styleId="46">
    <w:name w:val="CharTok"/>
    <w:qFormat/>
    <w:uiPriority w:val="0"/>
    <w:rPr>
      <w:color w:val="4070A0"/>
    </w:rPr>
  </w:style>
  <w:style w:type="character" w:customStyle="1" w:styleId="47">
    <w:name w:val="SpecialCharTok"/>
    <w:qFormat/>
    <w:uiPriority w:val="0"/>
    <w:rPr>
      <w:color w:val="4070A0"/>
    </w:rPr>
  </w:style>
  <w:style w:type="character" w:customStyle="1" w:styleId="48">
    <w:name w:val="StringTok"/>
    <w:qFormat/>
    <w:uiPriority w:val="0"/>
    <w:rPr>
      <w:color w:val="4070A0"/>
    </w:rPr>
  </w:style>
  <w:style w:type="character" w:customStyle="1" w:styleId="49">
    <w:name w:val="VerbatimStringTok"/>
    <w:qFormat/>
    <w:uiPriority w:val="0"/>
    <w:rPr>
      <w:color w:val="4070A0"/>
    </w:rPr>
  </w:style>
  <w:style w:type="character" w:customStyle="1" w:styleId="50">
    <w:name w:val="SpecialStringTok"/>
    <w:qFormat/>
    <w:uiPriority w:val="0"/>
    <w:rPr>
      <w:color w:val="BB6688"/>
    </w:rPr>
  </w:style>
  <w:style w:type="character" w:customStyle="1" w:styleId="51">
    <w:name w:val="ImportTok"/>
    <w:qFormat/>
    <w:uiPriority w:val="0"/>
    <w:rPr>
      <w:b/>
      <w:color w:val="008000"/>
    </w:rPr>
  </w:style>
  <w:style w:type="character" w:customStyle="1" w:styleId="52">
    <w:name w:val="CommentTok"/>
    <w:qFormat/>
    <w:uiPriority w:val="0"/>
    <w:rPr>
      <w:i/>
      <w:color w:val="60A0B0"/>
    </w:rPr>
  </w:style>
  <w:style w:type="character" w:customStyle="1" w:styleId="53">
    <w:name w:val="DocumentationTok"/>
    <w:qFormat/>
    <w:uiPriority w:val="0"/>
    <w:rPr>
      <w:i/>
      <w:color w:val="BA2121"/>
    </w:rPr>
  </w:style>
  <w:style w:type="character" w:customStyle="1" w:styleId="54">
    <w:name w:val="AnnotationTok"/>
    <w:qFormat/>
    <w:uiPriority w:val="0"/>
    <w:rPr>
      <w:b/>
      <w:i/>
      <w:color w:val="60A0B0"/>
    </w:rPr>
  </w:style>
  <w:style w:type="character" w:customStyle="1" w:styleId="55">
    <w:name w:val="CommentVarTok"/>
    <w:qFormat/>
    <w:uiPriority w:val="0"/>
    <w:rPr>
      <w:b/>
      <w:i/>
      <w:color w:val="60A0B0"/>
    </w:rPr>
  </w:style>
  <w:style w:type="character" w:customStyle="1" w:styleId="56">
    <w:name w:val="OtherTok"/>
    <w:qFormat/>
    <w:uiPriority w:val="0"/>
    <w:rPr>
      <w:color w:val="007020"/>
    </w:rPr>
  </w:style>
  <w:style w:type="character" w:customStyle="1" w:styleId="57">
    <w:name w:val="FunctionTok"/>
    <w:qFormat/>
    <w:uiPriority w:val="0"/>
    <w:rPr>
      <w:color w:val="06287E"/>
    </w:rPr>
  </w:style>
  <w:style w:type="character" w:customStyle="1" w:styleId="58">
    <w:name w:val="VariableTok"/>
    <w:qFormat/>
    <w:uiPriority w:val="0"/>
    <w:rPr>
      <w:color w:val="19177C"/>
    </w:rPr>
  </w:style>
  <w:style w:type="character" w:customStyle="1" w:styleId="59">
    <w:name w:val="ControlFlowTok"/>
    <w:qFormat/>
    <w:uiPriority w:val="0"/>
    <w:rPr>
      <w:b/>
      <w:color w:val="007020"/>
    </w:rPr>
  </w:style>
  <w:style w:type="character" w:customStyle="1" w:styleId="60">
    <w:name w:val="OperatorTok"/>
    <w:qFormat/>
    <w:uiPriority w:val="0"/>
    <w:rPr>
      <w:color w:val="666666"/>
    </w:rPr>
  </w:style>
  <w:style w:type="character" w:customStyle="1" w:styleId="61">
    <w:name w:val="BuiltInTok"/>
    <w:qFormat/>
    <w:uiPriority w:val="0"/>
    <w:rPr>
      <w:color w:val="008000"/>
    </w:rPr>
  </w:style>
  <w:style w:type="character" w:customStyle="1" w:styleId="62">
    <w:name w:val="ExtensionTok"/>
    <w:qFormat/>
    <w:uiPriority w:val="0"/>
  </w:style>
  <w:style w:type="character" w:customStyle="1" w:styleId="63">
    <w:name w:val="PreprocessorTok"/>
    <w:qFormat/>
    <w:uiPriority w:val="0"/>
    <w:rPr>
      <w:color w:val="BC7A00"/>
    </w:rPr>
  </w:style>
  <w:style w:type="character" w:customStyle="1" w:styleId="64">
    <w:name w:val="AttributeTok"/>
    <w:qFormat/>
    <w:uiPriority w:val="0"/>
    <w:rPr>
      <w:color w:val="7D9029"/>
    </w:rPr>
  </w:style>
  <w:style w:type="character" w:customStyle="1" w:styleId="65">
    <w:name w:val="RegionMarkerTok"/>
    <w:qFormat/>
    <w:uiPriority w:val="0"/>
  </w:style>
  <w:style w:type="character" w:customStyle="1" w:styleId="66">
    <w:name w:val="InformationTok"/>
    <w:qFormat/>
    <w:uiPriority w:val="0"/>
    <w:rPr>
      <w:b/>
      <w:i/>
      <w:color w:val="60A0B0"/>
    </w:rPr>
  </w:style>
  <w:style w:type="character" w:customStyle="1" w:styleId="67">
    <w:name w:val="WarningTok"/>
    <w:qFormat/>
    <w:uiPriority w:val="0"/>
    <w:rPr>
      <w:b/>
      <w:i/>
      <w:color w:val="60A0B0"/>
    </w:rPr>
  </w:style>
  <w:style w:type="character" w:customStyle="1" w:styleId="68">
    <w:name w:val="AlertTok"/>
    <w:qFormat/>
    <w:uiPriority w:val="0"/>
    <w:rPr>
      <w:b/>
      <w:color w:val="FF0000"/>
    </w:rPr>
  </w:style>
  <w:style w:type="character" w:customStyle="1" w:styleId="69">
    <w:name w:val="ErrorTok"/>
    <w:qFormat/>
    <w:uiPriority w:val="0"/>
    <w:rPr>
      <w:b/>
      <w:color w:val="FF0000"/>
    </w:rPr>
  </w:style>
  <w:style w:type="character" w:customStyle="1" w:styleId="70">
    <w:name w:val="NormalTok"/>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9</Pages>
  <Words>5231</Words>
  <Characters>5318</Characters>
  <Lines>12</Lines>
  <Paragraphs>8</Paragraphs>
  <TotalTime>0</TotalTime>
  <ScaleCrop>false</ScaleCrop>
  <LinksUpToDate>false</LinksUpToDate>
  <CharactersWithSpaces>5332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2024-11-13T07:05:00Z</dcterms:created>
  <dc:creator>bowen</dc:creator>
  <cp:lastModifiedBy>数字化转型导师坚鹏</cp:lastModifiedBy>
  <dcterms:modified xsi:type="dcterms:W3CDTF">2026-02-15T09:58:34Z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A5327E399647E281ABC28C6893BE207E_43</vt:lpwstr>
  </property>
  <property fmtid="{D5CDD505-2E9C-101B-9397-08002B2CF9AE}" pid="4" name="KSOTemplateDocerSaveRecord">
    <vt:lpwstr>eyJoZGlkIjoiMzEwNTM5NzYwMDRjMzkwZTVkZjY2ODkwMGIxNGU0OTUiLCJ1c2VySWQiOiIxOTU1ODQzNyJ9</vt:lpwstr>
  </property>
</Properties>
</file>