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706EA">
      <w:pPr>
        <w:jc w:val="center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为什么</w:t>
      </w:r>
      <w:r>
        <w:rPr>
          <w:rFonts w:hint="eastAsia"/>
          <w:b/>
          <w:bCs/>
          <w:sz w:val="24"/>
          <w:szCs w:val="24"/>
          <w:lang w:val="en-US" w:eastAsia="zh-CN"/>
        </w:rPr>
        <w:t>很多</w:t>
      </w:r>
      <w:r>
        <w:rPr>
          <w:rFonts w:hint="eastAsia"/>
          <w:b/>
          <w:bCs/>
          <w:sz w:val="24"/>
          <w:szCs w:val="24"/>
        </w:rPr>
        <w:t>企业选择深圳知行学AI核心智脑产品</w:t>
      </w:r>
    </w:p>
    <w:p w14:paraId="2B1A257D">
      <w:pPr>
        <w:rPr>
          <w:rFonts w:hint="eastAsia"/>
          <w:sz w:val="24"/>
          <w:szCs w:val="24"/>
        </w:rPr>
      </w:pPr>
    </w:p>
    <w:p w14:paraId="655DF6FB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深圳的一家上市公司高管向全球知名中文IT技术交流平台CSDN的一名博主反馈了他的使用体会，介绍说</w:t>
      </w:r>
      <w:r>
        <w:rPr>
          <w:rFonts w:hint="eastAsia"/>
          <w:b w:val="0"/>
          <w:bCs w:val="0"/>
          <w:sz w:val="24"/>
          <w:szCs w:val="24"/>
        </w:rPr>
        <w:t>深圳知行学AI核心智脑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产品</w:t>
      </w:r>
      <w:r>
        <w:rPr>
          <w:rFonts w:hint="eastAsia"/>
          <w:b/>
          <w:bCs/>
          <w:sz w:val="24"/>
          <w:szCs w:val="24"/>
          <w:lang w:val="en-US" w:eastAsia="zh-CN"/>
        </w:rPr>
        <w:t>是</w:t>
      </w:r>
      <w:r>
        <w:rPr>
          <w:rFonts w:hint="eastAsia"/>
          <w:sz w:val="24"/>
          <w:szCs w:val="24"/>
          <w:lang w:val="en-US" w:eastAsia="zh-CN"/>
        </w:rPr>
        <w:t>一款</w:t>
      </w:r>
      <w:r>
        <w:rPr>
          <w:rFonts w:hint="eastAsia"/>
          <w:sz w:val="24"/>
          <w:szCs w:val="24"/>
        </w:rPr>
        <w:t>“行业领先、综合全面的企业级AI智能体SaaS平台”的产品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很多</w:t>
      </w:r>
      <w:r>
        <w:rPr>
          <w:rFonts w:hint="eastAsia"/>
          <w:sz w:val="24"/>
          <w:szCs w:val="24"/>
        </w:rPr>
        <w:t>企业选择它的原因，远不止于其宣称的</w:t>
      </w:r>
      <w:r>
        <w:rPr>
          <w:rFonts w:hint="eastAsia"/>
          <w:sz w:val="24"/>
          <w:szCs w:val="24"/>
          <w:lang w:val="en-US" w:eastAsia="zh-CN"/>
        </w:rPr>
        <w:t>核心</w:t>
      </w:r>
      <w:r>
        <w:rPr>
          <w:rFonts w:hint="eastAsia"/>
          <w:sz w:val="24"/>
          <w:szCs w:val="24"/>
        </w:rPr>
        <w:t>功能，更在于它为企业提供的是一套从认知到落地、从工具到生态的完整价值闭环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旨在成为企业数字化转型的核心引擎。</w:t>
      </w:r>
      <w:r>
        <w:rPr>
          <w:rFonts w:hint="eastAsia"/>
          <w:sz w:val="24"/>
          <w:szCs w:val="24"/>
          <w:lang w:val="en-US" w:eastAsia="zh-CN"/>
        </w:rPr>
        <w:t>具体从下面5个维度</w:t>
      </w:r>
      <w:r>
        <w:rPr>
          <w:rFonts w:hint="eastAsia"/>
          <w:sz w:val="24"/>
          <w:szCs w:val="24"/>
        </w:rPr>
        <w:t>深入</w:t>
      </w:r>
      <w:r>
        <w:rPr>
          <w:rFonts w:hint="eastAsia"/>
          <w:sz w:val="24"/>
          <w:szCs w:val="24"/>
          <w:lang w:val="en-US" w:eastAsia="zh-CN"/>
        </w:rPr>
        <w:t>介绍了</w:t>
      </w:r>
      <w:r>
        <w:rPr>
          <w:rFonts w:hint="eastAsia"/>
          <w:sz w:val="24"/>
          <w:szCs w:val="24"/>
        </w:rPr>
        <w:t>选择深圳知行学AI核心</w:t>
      </w:r>
      <w:bookmarkStart w:id="0" w:name="_GoBack"/>
      <w:bookmarkEnd w:id="0"/>
      <w:r>
        <w:rPr>
          <w:rFonts w:hint="eastAsia"/>
          <w:sz w:val="24"/>
          <w:szCs w:val="24"/>
        </w:rPr>
        <w:t>智脑产品的关键原因。</w:t>
      </w:r>
    </w:p>
    <w:p w14:paraId="27D9C102">
      <w:pPr>
        <w:ind w:firstLine="480" w:firstLineChars="200"/>
        <w:rPr>
          <w:rFonts w:hint="eastAsia"/>
          <w:sz w:val="24"/>
          <w:szCs w:val="24"/>
        </w:rPr>
      </w:pPr>
    </w:p>
    <w:p w14:paraId="4887759D">
      <w:pPr>
        <w:outlineLvl w:val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维度一：面向未来的数字化转型与AI解决方案</w:t>
      </w:r>
    </w:p>
    <w:p w14:paraId="79759537">
      <w:pPr>
        <w:rPr>
          <w:rFonts w:hint="eastAsia"/>
          <w:sz w:val="24"/>
          <w:szCs w:val="24"/>
        </w:rPr>
      </w:pPr>
    </w:p>
    <w:p w14:paraId="3F4BFC23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在人工智能浪潮席卷全球的当下，企业的竞争已从传统的资源、渠道竞争，升级为以数据和智能为核心的“新质生产力”竞争。深圳知行学AI核心智脑产品并非一个简单的工具集合，而是一个承载了战略前瞻视野的解决方案，帮助企业不仅解决当下问题，更布局未来。</w:t>
      </w:r>
    </w:p>
    <w:p w14:paraId="632A0156">
      <w:pPr>
        <w:rPr>
          <w:rFonts w:hint="eastAsia"/>
          <w:sz w:val="24"/>
          <w:szCs w:val="24"/>
        </w:rPr>
      </w:pPr>
    </w:p>
    <w:p w14:paraId="440FFE8D">
      <w:pPr>
        <w:outlineLvl w:val="1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1. 深刻把握“人工智能+”国家战略与产业升级趋势</w:t>
      </w:r>
    </w:p>
    <w:p w14:paraId="7590BA83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产品资料中明确指出了从工业革命、互联网革命到人工智能革命的三次生产力跃迁，并强调2024年中国开启的“人工智能+”行动。这体现了知行学公司对宏观政策的敏锐洞察和战略对齐。其产品设计正是响应这一国家号召，将AI从“可选工具”提升为“必选生产力”。对于企业而言，选择这样一款产品，意味着其数字化转型方向与国家产业发展方向同频共振，能更好地获取政策红利、融入产业生态，避免在技术路线选择上走弯路。它帮助企业回答的不仅是“如何用AI”，更是“在AI时代，我该如何生存与发展”的战略命题。</w:t>
      </w:r>
    </w:p>
    <w:p w14:paraId="7878DBA6">
      <w:pPr>
        <w:rPr>
          <w:rFonts w:hint="eastAsia"/>
          <w:sz w:val="24"/>
          <w:szCs w:val="24"/>
        </w:rPr>
      </w:pPr>
    </w:p>
    <w:p w14:paraId="72B73065">
      <w:pPr>
        <w:outlineLvl w:val="1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2. 以“AI智能体”为核心，瞄准下一代人机协作范式</w:t>
      </w:r>
    </w:p>
    <w:p w14:paraId="39AFF01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产品资料清晰区分了Chatbot、Copilot和Agent的进化路径，并旗帜鲜明地将自身定位为“企业级AI智能体（Agent）”平台。这不仅仅是技术术语的差异，更是对生产力重构的前瞻性理解。Agent具备规划、工具调用和自主行动能力，能从“被动应答”走向“主动执行”，真正扮演“数字员工”的角色。企业选择该平台，实质上是提前布局从“人机交互”到“人机协同”乃至“智能体自主运营”的工作模式变革。例如，未来“一个真人+一台电脑=100个数字员工”的场景构想，正是基于Agent技术实现的。这为企业描绘了极具吸引力的效率倍增和成本结构优化的未来图景。</w:t>
      </w:r>
    </w:p>
    <w:p w14:paraId="208FB93F">
      <w:pPr>
        <w:rPr>
          <w:rFonts w:hint="eastAsia"/>
          <w:sz w:val="24"/>
          <w:szCs w:val="24"/>
        </w:rPr>
      </w:pPr>
    </w:p>
    <w:p w14:paraId="5938C136">
      <w:pPr>
        <w:outlineLvl w:val="1"/>
        <w:rPr>
          <w:rFonts w:hint="eastAsia" w:eastAsiaTheme="minor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3. 推动企业构建“AI原生”思维与数据驱动文化</w:t>
      </w:r>
    </w:p>
    <w:p w14:paraId="5CF50634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平台强调“翻转数字化逻辑”，旨在帮助企业从“用AI优化旧流程”的思维，转向“基于AI能力重构业务流程”的AI原生思维。通过“决策脑”、“管理脑”、“工作脑”、“营销脑”四大核心能力体系的构建，它引导企业将AI深度融入战略决策、组织管理、日常运营和客户营销的全链条。选择该产品，相当于引入了一套系统性的AI转型方法论和操作框架，迫使并赋能企业从高层到基层，重新思考数据价值、流程效率和人的角色，从而培育真正的数据驱动和智能决策文化，这是在AI时代构建长期竞争力的内核。</w:t>
      </w:r>
    </w:p>
    <w:p w14:paraId="34CF78BD">
      <w:pPr>
        <w:rPr>
          <w:rFonts w:hint="eastAsia"/>
          <w:sz w:val="24"/>
          <w:szCs w:val="24"/>
        </w:rPr>
      </w:pPr>
    </w:p>
    <w:p w14:paraId="7BF0DEDF">
      <w:pPr>
        <w:outlineLvl w:val="0"/>
        <w:rPr>
          <w:rFonts w:hint="default" w:asciiTheme="minorHAnsi" w:hAnsiTheme="minorHAnsi" w:eastAsiaTheme="minorEastAsia" w:cstheme="minorBidi"/>
          <w:b/>
          <w:kern w:val="44"/>
          <w:sz w:val="24"/>
          <w:szCs w:val="24"/>
          <w:lang w:val="en-US" w:eastAsia="zh-CN" w:bidi="ar-SA"/>
        </w:rPr>
      </w:pPr>
      <w:r>
        <w:rPr>
          <w:rFonts w:hint="eastAsia"/>
          <w:sz w:val="24"/>
          <w:szCs w:val="24"/>
        </w:rPr>
        <w:t xml:space="preserve"> </w:t>
      </w:r>
      <w:r>
        <w:rPr>
          <w:rFonts w:hint="eastAsia" w:asciiTheme="minorHAnsi" w:hAnsiTheme="minorHAnsi" w:eastAsiaTheme="minorEastAsia" w:cstheme="minorBidi"/>
          <w:b/>
          <w:kern w:val="44"/>
          <w:sz w:val="24"/>
          <w:szCs w:val="24"/>
          <w:lang w:val="en-US" w:eastAsia="zh-CN" w:bidi="ar-SA"/>
        </w:rPr>
        <w:t>维度二：</w:t>
      </w:r>
      <w:r>
        <w:rPr>
          <w:rFonts w:hint="eastAsia" w:cstheme="minorBidi"/>
          <w:b/>
          <w:kern w:val="44"/>
          <w:sz w:val="24"/>
          <w:szCs w:val="24"/>
          <w:lang w:val="en-US" w:eastAsia="zh-CN" w:bidi="ar-SA"/>
        </w:rPr>
        <w:t>开放的</w:t>
      </w:r>
      <w:r>
        <w:rPr>
          <w:rFonts w:hint="eastAsia" w:asciiTheme="minorHAnsi" w:hAnsiTheme="minorHAnsi" w:eastAsiaTheme="minorEastAsia" w:cstheme="minorBidi"/>
          <w:b/>
          <w:kern w:val="44"/>
          <w:sz w:val="24"/>
          <w:szCs w:val="24"/>
          <w:lang w:val="en-US" w:eastAsia="zh-CN" w:bidi="ar-SA"/>
        </w:rPr>
        <w:t>技术集成与</w:t>
      </w:r>
      <w:r>
        <w:rPr>
          <w:rFonts w:hint="eastAsia" w:cstheme="minorBidi"/>
          <w:b/>
          <w:kern w:val="44"/>
          <w:sz w:val="24"/>
          <w:szCs w:val="24"/>
          <w:lang w:val="en-US" w:eastAsia="zh-CN" w:bidi="ar-SA"/>
        </w:rPr>
        <w:t>AI智能体中台</w:t>
      </w:r>
    </w:p>
    <w:p w14:paraId="464406AA">
      <w:pPr>
        <w:rPr>
          <w:rFonts w:hint="eastAsia"/>
          <w:sz w:val="24"/>
          <w:szCs w:val="24"/>
        </w:rPr>
      </w:pPr>
    </w:p>
    <w:p w14:paraId="642935F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在技术层面，AI核心智脑产品的核心竞争力在于其“集成”与“创新”并举的架构设计。它没有选择闭门造车，而是以开放姿态集成前沿技术，同时在企业级应用的关键痛点上进行了卓有成效的自主创新。</w:t>
      </w:r>
    </w:p>
    <w:p w14:paraId="29BCD8D4">
      <w:pPr>
        <w:rPr>
          <w:rFonts w:hint="eastAsia"/>
          <w:sz w:val="24"/>
          <w:szCs w:val="24"/>
        </w:rPr>
      </w:pPr>
    </w:p>
    <w:p w14:paraId="3AF9FC06">
      <w:pPr>
        <w:outlineLvl w:val="1"/>
        <w:rPr>
          <w:rFonts w:hint="eastAsia" w:eastAsiaTheme="minor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1. 多模型融合策略，兼顾性能、成本与灵活性</w:t>
      </w:r>
    </w:p>
    <w:p w14:paraId="3DF03FC5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与依赖单一模型的竞品不同，该平台“集成DeepSeek、ChatGPT 4.0、豆包、Kimi等国内外顶尖AI模型”，构建了“多模态智能中枢”。这一策略具有多重优势：一是性能最优，企业可根据不同任务场景（如创意生成、逻辑推理、长文本处理）选择最合适的模型，获得最佳效果；二是风险对冲，避免因单一模型服务不稳定、政策变动或价格调整而陷入被动；三是成本可控，企业可以在保证效果的前提下，为不同优先级的任务分配不同成本的算力。这种“即切即用”的模型市场能力，赋予了企业前所未有的灵活性和主动权。</w:t>
      </w:r>
    </w:p>
    <w:p w14:paraId="7A35C2FD">
      <w:pPr>
        <w:rPr>
          <w:rFonts w:hint="eastAsia"/>
          <w:sz w:val="24"/>
          <w:szCs w:val="24"/>
        </w:rPr>
      </w:pPr>
    </w:p>
    <w:p w14:paraId="2C78D6B2">
      <w:pPr>
        <w:outlineLvl w:val="1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2. 独创“知识库+数据仓库”双驱架构，破解企业知识管理难题</w:t>
      </w:r>
    </w:p>
    <w:p w14:paraId="10EA9015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针对“知识管理难度较大”和“AI工具整合成本高”两大痛点，平台的核心技术创新体现在其“独创的知识库与数据仓库管理技术”以及“RAG（检索增强生成）架构”。这不仅仅是一个存储系统，而是一个知识活化与价值挖掘系统。它能够将企业散落在各处的非结构化文档、流程、经验转化为结构化的、可供AI理解和调用的知识资产。通过RAG技术，AI在回答问题和处理任务时，能实时、准确地调用企业自有知识，确保输出的专业性和一致性，避免了通用大模型的“幻觉”问题。同时，数据仓库为企业的决策分析提供了高质量燃料。这一闭环实现了企业知识的“沉淀-整合-复用-创新”，是将数据转化为资产、将经验固化为能力的关键。</w:t>
      </w:r>
    </w:p>
    <w:p w14:paraId="6C04928F">
      <w:pPr>
        <w:rPr>
          <w:rFonts w:hint="eastAsia"/>
          <w:sz w:val="24"/>
          <w:szCs w:val="24"/>
        </w:rPr>
      </w:pPr>
    </w:p>
    <w:p w14:paraId="17B9FE85">
      <w:pPr>
        <w:outlineLvl w:val="1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3. 零代码智能体创建与强大的集成能力，降低应用门槛</w:t>
      </w:r>
    </w:p>
    <w:p w14:paraId="5C4F501B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“部门落地AI比较难”往往源于技术门槛。该平台提供的“零代码创建智能体、工作流以及智能机器人”功能，让业务部门无需依赖专业的AI工程师或软件开发人员，就能基于自身业务需求，快速搭建和部署AI应用。这极大地加速了AI在各部门的渗透和落地。同时，其“全域系统智脑中枢”能够连接企业现有的OA、ERP、CRM、MES等核心系统，打破数据孤岛。这种“低代码/零代码应用开发+异构系统集成”的组合拳，使平台成为一个强大的企业级AI能力中台，既能快速响应前端业务需求，又能盘活后端历史数据资产，真正降低了AI的采纳和应用门槛。</w:t>
      </w:r>
    </w:p>
    <w:p w14:paraId="6F99CEAF">
      <w:pPr>
        <w:rPr>
          <w:rFonts w:hint="eastAsia"/>
          <w:sz w:val="24"/>
          <w:szCs w:val="24"/>
        </w:rPr>
      </w:pPr>
    </w:p>
    <w:p w14:paraId="5B901FE4">
      <w:pPr>
        <w:outlineLvl w:val="0"/>
        <w:rPr>
          <w:rFonts w:hint="eastAsia" w:asciiTheme="minorHAnsi" w:hAnsiTheme="minorHAnsi" w:eastAsiaTheme="minorEastAsia" w:cstheme="minorBidi"/>
          <w:b/>
          <w:kern w:val="44"/>
          <w:sz w:val="24"/>
          <w:szCs w:val="24"/>
          <w:lang w:val="en-US" w:eastAsia="zh-CN" w:bidi="ar-SA"/>
        </w:rPr>
      </w:pPr>
      <w:r>
        <w:rPr>
          <w:rFonts w:hint="eastAsia"/>
          <w:sz w:val="24"/>
          <w:szCs w:val="24"/>
        </w:rPr>
        <w:t xml:space="preserve"> </w:t>
      </w:r>
      <w:r>
        <w:rPr>
          <w:rFonts w:hint="eastAsia" w:asciiTheme="minorHAnsi" w:hAnsiTheme="minorHAnsi" w:eastAsiaTheme="minorEastAsia" w:cstheme="minorBidi"/>
          <w:b/>
          <w:kern w:val="44"/>
          <w:sz w:val="24"/>
          <w:szCs w:val="24"/>
          <w:lang w:val="en-US" w:eastAsia="zh-CN" w:bidi="ar-SA"/>
        </w:rPr>
        <w:t>维度三：产品功能的全场景覆盖与深度赋能</w:t>
      </w:r>
    </w:p>
    <w:p w14:paraId="3A69B6D2">
      <w:pPr>
        <w:rPr>
          <w:rFonts w:hint="eastAsia"/>
          <w:sz w:val="24"/>
          <w:szCs w:val="24"/>
        </w:rPr>
      </w:pPr>
    </w:p>
    <w:p w14:paraId="58AB4B7E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AI核心智脑产品并非功能单一的“点工具”，而是一个覆盖企业运营全场景的“面平台”和“体生态”。它的功能设计直指企业运营的核心环节，提供的是立体化、深度的赋能。</w:t>
      </w:r>
    </w:p>
    <w:p w14:paraId="465320A1">
      <w:pPr>
        <w:rPr>
          <w:rFonts w:hint="eastAsia"/>
          <w:sz w:val="24"/>
          <w:szCs w:val="24"/>
        </w:rPr>
      </w:pPr>
    </w:p>
    <w:p w14:paraId="6FAD817C">
      <w:pPr>
        <w:outlineLvl w:val="1"/>
        <w:rPr>
          <w:rFonts w:hint="eastAsia" w:eastAsiaTheme="minor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1. 从“提效工具”到“数字员工”：实现岗位级深度赋能</w:t>
      </w:r>
    </w:p>
    <w:p w14:paraId="2ED0F8C8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平台功能不仅包括会议记录、文档理解、PPT生成等通用“提效工具”，更前瞻性地推出了“数字员工”创建功能。企业可以为销售、客服、HR、财务等具体岗位，配置专属的、具备岗位知识和技能的数字孪生。这些数字员工能够7x24小时工作，处理标准化的咨询、跟进、筛选、分析等任务。这标志着AI应用从“辅助人”的工具阶段，进入了“部分替代人”或“增强人”的岗位重塑阶段。它直接解决“企业AI应用门槛高”的问题，让每个岗位的员工都能获得一个强大的AI助手，甚至是一个可以托管部分工作的“虚拟同事”，从而实现人力资本的解放和升级。</w:t>
      </w:r>
    </w:p>
    <w:p w14:paraId="11F3705C">
      <w:pPr>
        <w:rPr>
          <w:rFonts w:hint="eastAsia"/>
          <w:sz w:val="24"/>
          <w:szCs w:val="24"/>
        </w:rPr>
      </w:pPr>
    </w:p>
    <w:p w14:paraId="06CC1C14">
      <w:pPr>
        <w:outlineLvl w:val="1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2. “四位一体”脑力体系，系统性提升组织智能</w:t>
      </w:r>
    </w:p>
    <w:p w14:paraId="49C76596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产品构建的“工作脑、营销脑、管理脑、决策脑”四大能力体系，是对企业核心职能的系统性增强。</w:t>
      </w:r>
    </w:p>
    <w:p w14:paraId="54B76046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*   工作脑聚焦于岗位效能，实现自动化与执行力倍增。</w:t>
      </w:r>
    </w:p>
    <w:p w14:paraId="0A5EE0D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*   营销脑贯穿“内容生成→分发→互动→转化”全链路，实现智能营销自动化。</w:t>
      </w:r>
    </w:p>
    <w:p w14:paraId="05650979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*   管理脑通过任务追踪、知识沉淀、数据看板，实现组织管理的可视化与高效协同。</w:t>
      </w:r>
    </w:p>
    <w:p w14:paraId="30B1EAA8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*   决策脑整合内外部数据，提供销售预测、风险预警、市场洞察，支持科学决策。</w:t>
      </w:r>
    </w:p>
    <w:p w14:paraId="56C0EB44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这四大“脑”协同作用，相当于为企业同时配备了效率提升器、业绩增长引擎、组织协同网络和战略决策参谋部，是从战术到战略层面的全方位赋能。</w:t>
      </w:r>
    </w:p>
    <w:p w14:paraId="68106522">
      <w:pPr>
        <w:rPr>
          <w:rFonts w:hint="eastAsia"/>
          <w:sz w:val="24"/>
          <w:szCs w:val="24"/>
        </w:rPr>
      </w:pPr>
    </w:p>
    <w:p w14:paraId="31EB5BC0">
      <w:pPr>
        <w:outlineLvl w:val="1"/>
        <w:rPr>
          <w:rFonts w:hint="eastAsia" w:eastAsiaTheme="minor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3. 行业化与场景化模板，加速价值兑现</w:t>
      </w:r>
    </w:p>
    <w:p w14:paraId="11B3E87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平台提供了金融、制造、文创、教育等行业的应用模板和大量专家级写作模型。这些预置的、开箱即用的行业智能体，如银行风控顾问、智能制造分析员等，极大地缩短了企业从部署到产生价值的“最后一公里”。企业无需从零开始探索AI在其特定行业的应用模式，可以直接在这些经过验证的模板基础上进行定制化调整。这种“行业Know-How + AI技术”的封装，降低了企业的试错成本，让AI应用能够快速切入核心业务场景，解决“数字化转型难度大”中“不知从何做起”的困惑。</w:t>
      </w:r>
    </w:p>
    <w:p w14:paraId="02853A13">
      <w:pPr>
        <w:rPr>
          <w:rFonts w:hint="eastAsia"/>
          <w:sz w:val="24"/>
          <w:szCs w:val="24"/>
        </w:rPr>
      </w:pPr>
    </w:p>
    <w:p w14:paraId="03569746">
      <w:pPr>
        <w:outlineLvl w:val="0"/>
        <w:rPr>
          <w:rFonts w:hint="eastAsia" w:asciiTheme="minorHAnsi" w:hAnsiTheme="minorHAnsi" w:eastAsiaTheme="minorEastAsia" w:cstheme="minorBidi"/>
          <w:b/>
          <w:kern w:val="44"/>
          <w:sz w:val="24"/>
          <w:szCs w:val="24"/>
          <w:lang w:val="en-US" w:eastAsia="zh-CN" w:bidi="ar-SA"/>
        </w:rPr>
      </w:pPr>
      <w:r>
        <w:rPr>
          <w:rFonts w:hint="eastAsia"/>
          <w:sz w:val="24"/>
          <w:szCs w:val="24"/>
        </w:rPr>
        <w:t xml:space="preserve"> </w:t>
      </w:r>
      <w:r>
        <w:rPr>
          <w:rFonts w:hint="eastAsia" w:asciiTheme="minorHAnsi" w:hAnsiTheme="minorHAnsi" w:eastAsiaTheme="minorEastAsia" w:cstheme="minorBidi"/>
          <w:b/>
          <w:kern w:val="44"/>
          <w:sz w:val="24"/>
          <w:szCs w:val="24"/>
          <w:lang w:val="en-US" w:eastAsia="zh-CN" w:bidi="ar-SA"/>
        </w:rPr>
        <w:t>维度四：卓越的性价比与灵活的部署模式</w:t>
      </w:r>
    </w:p>
    <w:p w14:paraId="061DA0F2">
      <w:pPr>
        <w:rPr>
          <w:rFonts w:hint="eastAsia"/>
          <w:sz w:val="24"/>
          <w:szCs w:val="24"/>
        </w:rPr>
      </w:pPr>
    </w:p>
    <w:p w14:paraId="420374BB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在商业考量上，深圳知行学AI核心智脑产品展现了极强的市场竞争力，其定价策略和部署方案精准匹配了不同规模、不同阶段企业的需求与预算。</w:t>
      </w:r>
    </w:p>
    <w:p w14:paraId="3A346961">
      <w:pPr>
        <w:rPr>
          <w:rFonts w:hint="eastAsia"/>
          <w:sz w:val="24"/>
          <w:szCs w:val="24"/>
        </w:rPr>
      </w:pPr>
    </w:p>
    <w:p w14:paraId="08AA035E">
      <w:pPr>
        <w:outlineLvl w:val="1"/>
        <w:rPr>
          <w:rFonts w:hint="eastAsia" w:eastAsiaTheme="minor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1. 极具竞争力的分层定价，普惠中小企业</w:t>
      </w:r>
    </w:p>
    <w:p w14:paraId="12F4856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“年费最低1988元即可拥有”的初级版定价，与“竞品企业级SaaS多超5000元/年”形成鲜明对比。这种定价策略具有颠覆性。它包含了10000算力、存储空间及全部核心功能，使得预算有限的中小企业能够以极低的门槛，用上一套功能完整的企业级AI平台。同时，提供从中级版到豪华版的阶梯折扣，满足了企业规模增长后的扩展需求。这种“高配低价”的策略，打破了企业级AI服务价格高昂的刻板印象，是推动AI普惠化、加速中小企业数字化转型的关键。</w:t>
      </w:r>
    </w:p>
    <w:p w14:paraId="50C92BBF">
      <w:pPr>
        <w:rPr>
          <w:rFonts w:hint="eastAsia"/>
          <w:sz w:val="24"/>
          <w:szCs w:val="24"/>
        </w:rPr>
      </w:pPr>
    </w:p>
    <w:p w14:paraId="7A9F95DF">
      <w:pPr>
        <w:outlineLvl w:val="1"/>
        <w:rPr>
          <w:rFonts w:hint="eastAsia" w:eastAsiaTheme="minor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2. 清晰的成本结构与灵活的算力模型</w:t>
      </w:r>
    </w:p>
    <w:p w14:paraId="7BBFD388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平台采用“账号年费 + 算力消耗”的透明计费模式。赠送的基础算力可用于常规任务，而按需充值（1算力=0.01元）的模式让企业可以为高强度或特殊的AI任务（如大批量生成、模型微调）灵活付费。这种模式避免了传统软件采购中常见的“功能浪费”或“资源不足”的两难困境，让企业只为实际使用的AI能力买单，实现了成本的最优控制。</w:t>
      </w:r>
    </w:p>
    <w:p w14:paraId="074E5F45">
      <w:pPr>
        <w:rPr>
          <w:rFonts w:hint="eastAsia"/>
          <w:sz w:val="24"/>
          <w:szCs w:val="24"/>
        </w:rPr>
      </w:pPr>
    </w:p>
    <w:p w14:paraId="677928AD">
      <w:pPr>
        <w:outlineLvl w:val="1"/>
        <w:rPr>
          <w:rFonts w:hint="eastAsia" w:eastAsiaTheme="minor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3. 全面的部署选项，满足安全与定制化需求</w:t>
      </w:r>
    </w:p>
    <w:p w14:paraId="33DDF7ED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平台提供了从SaaS公有云、API+本地存储（轻量化部署）到全本地化私有部署的完整方案。对于数据安全敏感、合规要求严格的政府、金融、大型企业，私有化部署方案（尽管有一次性部署费用）确保了数据的绝对掌控和系统的独立运行。同时，平台支持深度定制开发，企业可根据自身独特业务流程“量身定制”功能模块。这种从“开箱即用”到“深度定制”的完整光谱，覆盖了从初创公司到集团型企业的全客户生命周期，解决了企业对“数据安全”和“业务契合度”的核心关切。</w:t>
      </w:r>
    </w:p>
    <w:p w14:paraId="34597A59">
      <w:pPr>
        <w:rPr>
          <w:rFonts w:hint="eastAsia"/>
          <w:sz w:val="24"/>
          <w:szCs w:val="24"/>
        </w:rPr>
      </w:pPr>
    </w:p>
    <w:p w14:paraId="49137DA2">
      <w:pPr>
        <w:outlineLvl w:val="0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 xml:space="preserve"> </w:t>
      </w:r>
      <w:r>
        <w:rPr>
          <w:rFonts w:hint="eastAsia" w:asciiTheme="minorHAnsi" w:hAnsiTheme="minorHAnsi" w:eastAsiaTheme="minorEastAsia" w:cstheme="minorBidi"/>
          <w:b/>
          <w:kern w:val="44"/>
          <w:sz w:val="24"/>
          <w:szCs w:val="24"/>
          <w:lang w:val="en-US" w:eastAsia="zh-CN" w:bidi="ar-SA"/>
        </w:rPr>
        <w:t>维度五：独特的“五位一体”服务生态与品牌背书</w:t>
      </w:r>
    </w:p>
    <w:p w14:paraId="31DB45D0">
      <w:pPr>
        <w:rPr>
          <w:rFonts w:hint="eastAsia"/>
          <w:sz w:val="24"/>
          <w:szCs w:val="24"/>
        </w:rPr>
      </w:pPr>
    </w:p>
    <w:p w14:paraId="0EFC436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深圳知行学公司提供的远不止一个软件产品，而是构建了一个以产品为核心的“服务生态”。这是其区别于绝大多数仅提供工具的竞品的最大差异化优势，也是确保客户成功的关键。</w:t>
      </w:r>
    </w:p>
    <w:p w14:paraId="319F4FB5">
      <w:pPr>
        <w:rPr>
          <w:rFonts w:hint="eastAsia"/>
          <w:sz w:val="24"/>
          <w:szCs w:val="24"/>
        </w:rPr>
      </w:pPr>
    </w:p>
    <w:p w14:paraId="043CA692">
      <w:pPr>
        <w:outlineLvl w:val="1"/>
        <w:rPr>
          <w:rFonts w:hint="eastAsia" w:eastAsiaTheme="minor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1. “研究-培训-咨询-软件-辅导”五位一体，保障应用成功</w:t>
      </w:r>
    </w:p>
    <w:p w14:paraId="5C589D8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企业引入AI的最大挑战往往不在技术本身，而在于人的认知、组织的流程和项目的落地。知行学公司创新性地提供了覆盖全链条的一站式服务：</w:t>
      </w:r>
    </w:p>
    <w:p w14:paraId="7DD959D3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*   研究：通过AI智能体研究院保持技术前沿洞察，输出方法论（如RTCSC），为客户应用提供理论指导。</w:t>
      </w:r>
    </w:p>
    <w:p w14:paraId="06F05A84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*   培训：三层次课程体系（战略、战术、战斗力）系统化改变团队认知，提升全员AI技能。</w:t>
      </w:r>
    </w:p>
    <w:p w14:paraId="4EAFC794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*   咨询：三维咨询框架（战略-战术-战斗力）帮助企业厘清AI转型路径，制定可落地的方案。</w:t>
      </w:r>
    </w:p>
    <w:p w14:paraId="180B533B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*   软件：即AI核心智脑产品本身，作为价值承载的工具。</w:t>
      </w:r>
    </w:p>
    <w:p w14:paraId="2C0C4D2E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*   辅导：通过常年顾问、私董会等形式，长期陪伴，解决落地过程中的具体问题。</w:t>
      </w:r>
    </w:p>
    <w:p w14:paraId="03719E9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这五者环环相扣，确保客户不仅能“买到”AI能力，更能“用好”、“用深”，真正实现从“方案”到“成果”的跨越，极大地降低了客户单独采购软件后“不会用、用不好”的风险。</w:t>
      </w:r>
    </w:p>
    <w:p w14:paraId="31222E25">
      <w:pPr>
        <w:rPr>
          <w:rFonts w:hint="eastAsia"/>
          <w:sz w:val="24"/>
          <w:szCs w:val="24"/>
        </w:rPr>
      </w:pPr>
    </w:p>
    <w:p w14:paraId="70B2DD5B">
      <w:pPr>
        <w:outlineLvl w:val="1"/>
        <w:rPr>
          <w:rFonts w:hint="eastAsia" w:eastAsiaTheme="minor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2. 强大的创始人IP与行业实践背书</w:t>
      </w:r>
    </w:p>
    <w:p w14:paraId="38B915FE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创始人坚鹏老师作为“银行数字化转型导师”，拥有在金融等垂直行业的深厚积淀和大量标杆服务案例（如工商银行、平安集团等）。这种深厚的行业背景和实战经验，使得知行学公司提供的不仅是通用技术，更是融合了行业最佳实践的解决方案。对于寻求数字化转型的企业，尤其是金融机构，选择由这样一位行业专家背书的平台，意味着获得了经过验证的方法论和更贴近业务的理解，信任成本和沟通成本大大降低。</w:t>
      </w:r>
    </w:p>
    <w:p w14:paraId="4D76F125">
      <w:pPr>
        <w:rPr>
          <w:rFonts w:hint="eastAsia"/>
          <w:sz w:val="24"/>
          <w:szCs w:val="24"/>
        </w:rPr>
      </w:pPr>
    </w:p>
    <w:p w14:paraId="26CF3EF7">
      <w:pPr>
        <w:outlineLvl w:val="1"/>
        <w:rPr>
          <w:rFonts w:hint="eastAsia" w:eastAsiaTheme="minor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3. 构建学习型社群，提供持续价值与资源网络</w:t>
      </w:r>
    </w:p>
    <w:p w14:paraId="72AB7018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“数字化转型传习社”作为学习社群类产品，将一次性交易升级为长期价值互动。客户在购买软件的同时，可以加入一个由企业家、专家组成的圈子，持续学习最新知识、对接高端人脉、整合产业资源。这使企业获得的不仅是一个工具，更是一个陪伴成长的伙伴和一个能够持续获取养分、扩展边界的生态位。这种社群化的运营，增强了客户粘性，也形成了强大的口碑传播和品牌护城河。</w:t>
      </w:r>
    </w:p>
    <w:p w14:paraId="164AD7B9">
      <w:pPr>
        <w:rPr>
          <w:rFonts w:hint="eastAsia"/>
          <w:sz w:val="24"/>
          <w:szCs w:val="24"/>
        </w:rPr>
      </w:pPr>
    </w:p>
    <w:p w14:paraId="4248EA9F">
      <w:pPr>
        <w:outlineLvl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综上所述，企业选择深圳知行学AI核心智脑产品，是一次综合价值最大化的战略决策。它选择的不仅是一个技术领先、功能全面、价格厚道的AI工具平台，更是一套承载国家战略视野、引领工作范式变革的AI原生转型方法论，一个融合了行业Know-How与前沿技术的智能中枢，一套覆盖从认知到落地全过程的“产品+服务”生态保障，以及一个能够提供持续赋能与资源连接的长期伙伴。</w:t>
      </w:r>
    </w:p>
    <w:p w14:paraId="662E3E87">
      <w:pPr>
        <w:ind w:firstLine="480" w:firstLineChars="200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深圳知行学AI智能体顾问坚鹏认为：</w:t>
      </w:r>
      <w:r>
        <w:rPr>
          <w:rFonts w:hint="eastAsia"/>
          <w:sz w:val="24"/>
          <w:szCs w:val="24"/>
        </w:rPr>
        <w:t>在数字化转型进入“深水区”、AI竞争日趋白热化的今天，深圳知行学AI核心智脑产品以其独特的战略定位、技术创新、全场景赋能、商业友好性和生态化服务，为企业提供了一个风险可控、路径清晰、价值可期的智能化升级“最优解”。这正应了其品牌承诺：选择知行学，就是选择一位懂业务、懂技术、懂落地的长期伙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604D82"/>
    <w:rsid w:val="05137986"/>
    <w:rsid w:val="061D076C"/>
    <w:rsid w:val="0DF9367B"/>
    <w:rsid w:val="156C2EC6"/>
    <w:rsid w:val="158C5316"/>
    <w:rsid w:val="16135A37"/>
    <w:rsid w:val="167D7355"/>
    <w:rsid w:val="1BBC01EB"/>
    <w:rsid w:val="1CC010CD"/>
    <w:rsid w:val="20604D82"/>
    <w:rsid w:val="218B0B78"/>
    <w:rsid w:val="26AF46EB"/>
    <w:rsid w:val="270311B0"/>
    <w:rsid w:val="27743E5C"/>
    <w:rsid w:val="284D4DD9"/>
    <w:rsid w:val="2F5E78CC"/>
    <w:rsid w:val="312B7C81"/>
    <w:rsid w:val="3FFA0F4B"/>
    <w:rsid w:val="41A82C28"/>
    <w:rsid w:val="49276B29"/>
    <w:rsid w:val="4A5120AF"/>
    <w:rsid w:val="4E8B1908"/>
    <w:rsid w:val="4E9E163B"/>
    <w:rsid w:val="4F7B372A"/>
    <w:rsid w:val="52ED2B91"/>
    <w:rsid w:val="5797131D"/>
    <w:rsid w:val="57E75E01"/>
    <w:rsid w:val="57FB365A"/>
    <w:rsid w:val="5A117165"/>
    <w:rsid w:val="5A7B0A82"/>
    <w:rsid w:val="5D0A64AD"/>
    <w:rsid w:val="65E41BD1"/>
    <w:rsid w:val="6C9003BD"/>
    <w:rsid w:val="6EBC36EB"/>
    <w:rsid w:val="6FA348AB"/>
    <w:rsid w:val="746A3BEA"/>
    <w:rsid w:val="75F25C45"/>
    <w:rsid w:val="770C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4770</Words>
  <Characters>4957</Characters>
  <Lines>0</Lines>
  <Paragraphs>0</Paragraphs>
  <TotalTime>0</TotalTime>
  <ScaleCrop>false</ScaleCrop>
  <LinksUpToDate>false</LinksUpToDate>
  <CharactersWithSpaces>5011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2026-01-07T12:53:00Z</dcterms:created>
  <dc:creator>数字化转型导师坚鹏</dc:creator>
  <cp:lastModifiedBy>数字化转型导师坚鹏</cp:lastModifiedBy>
  <dcterms:modified xsi:type="dcterms:W3CDTF">2026-02-12T15:39:41Z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B6C154FF5F5C48DDA5FF5FC34E970606_11</vt:lpwstr>
  </property>
  <property fmtid="{D5CDD505-2E9C-101B-9397-08002B2CF9AE}" pid="4" name="KSOTemplateDocerSaveRecord">
    <vt:lpwstr>eyJoZGlkIjoiMzEwNTM5NzYwMDRjMzkwZTVkZjY2ODkwMGIxNGU0OTUiLCJ1c2VySWQiOiIxOTU1ODQzNyJ9</vt:lpwstr>
  </property>
</Properties>
</file>