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A4C644">
      <w:pPr>
        <w:spacing w:before="480" w:after="480" w:line="288" w:lineRule="auto"/>
        <w:ind w:left="0"/>
        <w:jc w:val="center"/>
        <w:rPr>
          <w:sz w:val="13"/>
          <w:szCs w:val="15"/>
        </w:rPr>
      </w:pPr>
      <w:r>
        <w:rPr>
          <w:rFonts w:ascii="Arial" w:hAnsi="Arial" w:eastAsia="等线" w:cs="Arial"/>
          <w:b/>
          <w:sz w:val="32"/>
          <w:szCs w:val="15"/>
        </w:rPr>
        <w:t>企业选择深圳知行学AI核心智脑产品的五大核心原因</w:t>
      </w:r>
    </w:p>
    <w:p w14:paraId="61C7F1FC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深圳知行学AI核心智脑作为行业领先、综合全面的企业级AI智能体SaaS平台，凭借多模型融合、全场景覆盖、高性价比等核心优势，成为企业数字化转型的优选伙伴。其之所以能获得各类企业、银行、政府机构的青睐，核心源于五大维度的价值输出，每个维度均精准击中企业在AI应用与数字化转型中的核心痛点，且有具体功能、技术与案例作为支撑。</w:t>
      </w:r>
    </w:p>
    <w:p w14:paraId="46C9BD92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一、产品功能与技术优势：破解AI应用门槛高的核心痛点</w:t>
      </w:r>
      <w:bookmarkEnd w:id="0"/>
    </w:p>
    <w:p w14:paraId="31FFDD84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深圳知行学AI核心智脑的技术架构与功能设计，从根本上解决了企业“AI应用门槛高”“部门落地AI难”的问题，其先进性与实用性形成了难以替代的竞争壁垒。</w:t>
      </w:r>
    </w:p>
    <w:p w14:paraId="0F63E379">
      <w:pPr>
        <w:spacing w:before="300" w:after="120" w:line="288" w:lineRule="auto"/>
        <w:ind w:left="0"/>
        <w:jc w:val="left"/>
        <w:outlineLvl w:val="2"/>
      </w:pPr>
      <w:bookmarkStart w:id="1" w:name="heading_1"/>
      <w:r>
        <w:rPr>
          <w:rFonts w:ascii="Arial" w:hAnsi="Arial" w:eastAsia="等线" w:cs="Arial"/>
          <w:b/>
          <w:sz w:val="30"/>
        </w:rPr>
        <w:t>1. 多模型融合架构，打破单一模型局限</w:t>
      </w:r>
      <w:bookmarkEnd w:id="1"/>
    </w:p>
    <w:p w14:paraId="5912B08C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与竞品依赖单一模型的模式不同，深圳知行学AI核心智脑深度整合了DeepSeek、Chat4.0、豆包、Kimi、ChatGLM4、Qwen2.5等国内外头部大模型能力，构建了企业专属的AI能力中台，支持即切即用。这种多模型融合架构的核心价值在于，能够根据不同业务场景的需求匹配最优模型，避免单一模型在特定任务中的短板。例如，在深度思考类任务（如战略规划、行业分析）中可调用DeepSeek-R1模型，在多模态生成任务（如图文创作、视频生成）中可切换至DeepSeek-VL2或Qwen2.5-VL模型，在数据处理任务中可启用Text-to-SQL大模型（如SQL Coder-13B）。这种“一个平台、一个窗口、一个问题，获得不同顶级大模型支撑”的模式，让企业无需单独对接多个模型接口，也无需专业技术团队评估模型适配性，极大降低了AI应用的技术门槛。同时，平台搭载的多模态智能中枢，支持对话、图片、视频、音频等多类型内容的处理与生成，形成了完整的多模态能力矩阵，满足企业从文字处理到视觉创作、从语音交互到视频营销的全场景需求，而竞品大多仅能覆盖单一模态或少数场景。</w:t>
      </w:r>
    </w:p>
    <w:p w14:paraId="033ADCB4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2. 零代码开发+全场景功能覆盖，实现AI快速落地</w:t>
      </w:r>
      <w:bookmarkEnd w:id="2"/>
    </w:p>
    <w:p w14:paraId="7C2C6D56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针对“部门落地AI比较难”的痛点，深圳知行学AI核心智脑采用零代码开发模式，支持企业员工无需编程基础即可创建智能体、工作流与智能机器人。平台提供可视化流程编排工具，用户可通过拖拽、配置等简单操作，搭建适配自身业务场景的智能应用，例如销售跟进工作流、客服自动应答机器人、营销内容生成智能体等。这种零代码特性让各部门能够根据自身需求快速落地AI应用，无需依赖IT部门或外部技术团队，显著缩短了AI落地周期——从传统的数月缩短至数小时或数天。同时，产品功能覆盖企业运营全场景，形成了“提效工具+数字员工+智能营销+行业应用+能力中心”的完整功能体系：提效工具涵盖文档处理、会议记录、AI PPT、思维导图等办公高频场景；数字员工支持全岗位覆盖，可自动实现客服、销售、HR、财务等岗位的核心职能；智能营销打通“内容生成-多平台发布-线索转化-复购裂变”全链路；行业应用内置金融、制造、医疗、政务等20000+智能体，开箱即用；能力中心提供AIGC能力开放平台，支持对话、图像处理、声音合成等功能的快速对接。这种全场景覆盖让企业无需采购多个单一功能的AI工具，通过一个平台即可满足各部门、各环节的AI需求，避免了多工具切换的低效与数据割裂的问题。</w:t>
      </w:r>
    </w:p>
    <w:p w14:paraId="09EB0B8A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3. 独创知识库与数仓管理技术，构建知识复用闭环</w:t>
      </w:r>
      <w:bookmarkEnd w:id="3"/>
    </w:p>
    <w:p w14:paraId="737F3BCE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企业在AI应用中常面临“知识管理难度较大”的困境，分散在各部门的文档、经验、流程规范难以整合复用，导致AI模型输出不准确、不贴合企业实际。深圳知行学AI核心智脑独创知识库与数据仓库管理技术，构建了“知识沉淀-整合-复用-创新”的完整闭环，有效解决了这一痛点。智能知识库支持多格式内容管理，可上传文档、图片、音频、视频等各类知识资产，通过结构化数据管理与智能检索技术，将分散的知识转化为可复用的资产；同时，平台构建知识图谱关联，实现动态管理知识网络，支持按部门、岗位、业务场景设置知识权限，保障千人千面的精准知识推送。数据仓库（数据湖）则整合企业内外部数据，经过清洗、标注、存储后，为AI模型提供高质量训练数据源，提升算法准确性。这种“知识库+数仓”双驱架构，让AI智能体能够深度理解企业业务与知识体系，输出的结果更贴合企业实际需求——例如AI销售可复制学习销冠的知识与经验，赋能销售全流程；AI客服可基于企业产品知识与常见问题库，提供24/7的精准应答。相比之下，竞品大多缺乏完善的知识管理体系，AI模型仅能依赖通用数据，难以适配企业个性化业务场景。</w:t>
      </w:r>
    </w:p>
    <w:p w14:paraId="0D9BE9CB">
      <w:pPr>
        <w:spacing w:before="320" w:after="120" w:line="288" w:lineRule="auto"/>
        <w:ind w:left="0"/>
        <w:jc w:val="left"/>
        <w:outlineLvl w:val="1"/>
      </w:pPr>
      <w:bookmarkStart w:id="4" w:name="heading_4"/>
      <w:r>
        <w:rPr>
          <w:rFonts w:ascii="Arial" w:hAnsi="Arial" w:eastAsia="等线" w:cs="Arial"/>
          <w:b/>
          <w:sz w:val="32"/>
        </w:rPr>
        <w:t>二、成本控制与高性价比：解决AI应用高成本难题</w:t>
      </w:r>
      <w:bookmarkEnd w:id="4"/>
    </w:p>
    <w:p w14:paraId="712D1D78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对于企业而言，AI工具的采购与使用成本是重要决策因素，深圳知行学AI核心智脑通过亲民的定价、合理的资源配置与工具整合，显著降低了企业AI应用的综合成本。</w:t>
      </w:r>
    </w:p>
    <w:p w14:paraId="71FE8629">
      <w:pPr>
        <w:spacing w:before="300" w:after="120" w:line="288" w:lineRule="auto"/>
        <w:ind w:left="0"/>
        <w:jc w:val="left"/>
        <w:outlineLvl w:val="2"/>
      </w:pPr>
      <w:bookmarkStart w:id="5" w:name="heading_5"/>
      <w:r>
        <w:rPr>
          <w:rFonts w:ascii="Arial" w:hAnsi="Arial" w:eastAsia="等线" w:cs="Arial"/>
          <w:b/>
          <w:sz w:val="30"/>
        </w:rPr>
        <w:t>1. 阶梯式定价策略，适配不同规模企业需求</w:t>
      </w:r>
      <w:bookmarkEnd w:id="5"/>
    </w:p>
    <w:p w14:paraId="77843F3D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深圳知行学AI核心智脑采用阶梯式定价策略，年费最低仅1988元（初级版，1-199个账号），远低于竞品企业级SaaS产品普遍超5000元/年的价格，让中小企业也能负担起企业级AI服务。针对不同规模企业的需求，平台设置了四个版本：初级版满足小型团队的日常办公与知识管理需求；中级版（200-499个账号）享受8折优惠，提供更大的存储空间（个人100GB/人，企业10TB）；高级版（500-999个账号）享受7折优惠，支持部分功能定制开发，可接入企业数据仓库；豪华版（1000个账号以上）享受6折优惠，支持私有化部署与全功能定制开发。这种阶梯式定价让企业能够根据自身规模与需求选择合适的版本，避免了“大马拉小车”或“小马拉大车”的成本浪费。此外，平台还推出免费的AI智能体产品（如银行数字化转型导师、数字化营销运营导师等），方便企业先体验后采购，降低决策风险。</w:t>
      </w:r>
    </w:p>
    <w:p w14:paraId="17348D53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2. 算力与存储资源高性价比配置，降低额外投入</w:t>
      </w:r>
      <w:bookmarkEnd w:id="6"/>
    </w:p>
    <w:p w14:paraId="6830AB26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AI应用的算力与存储需求往往带来高额额外成本，深圳知行学AI核心智脑通过优化资源配置，为企业提供了高性价比的算力与存储支持。初级版账号赠送10000算力/人，算力充值价格仅0.01元/算力，远低于市场平均水平；存储方面，初级版提供个人50GB/人、企业1TB的存储空间，中级版升级至个人100GB/人、企业10TB，高级版与豪华版的存储容量进一步提升，且支持按需扩充。这种配置能够满足企业日常文档存储、模型训练、数据处理等需求，无需企业单独采购服务器或租赁云算力，显著降低了硬件投入成本。例如，某高新技术制造企业使用该平台后，无需单独部署AI服务器，仅通过平台提供的算力完成会议记录转写、文档理解、智能翻译等任务，硬件投入成本降低了70%。同时，平台采用弹性计算网络与实时数据存储技术，能够根据企业使用需求动态分配资源，避免了资源闲置浪费，进一步提升了成本效益。</w:t>
      </w:r>
    </w:p>
    <w:p w14:paraId="019CEF88">
      <w:pPr>
        <w:spacing w:before="300" w:after="120" w:line="288" w:lineRule="auto"/>
        <w:ind w:left="0"/>
        <w:jc w:val="left"/>
        <w:outlineLvl w:val="2"/>
      </w:pPr>
      <w:bookmarkStart w:id="7" w:name="heading_7"/>
      <w:r>
        <w:rPr>
          <w:rFonts w:ascii="Arial" w:hAnsi="Arial" w:eastAsia="等线" w:cs="Arial"/>
          <w:b/>
          <w:sz w:val="30"/>
        </w:rPr>
        <w:t>3. 工具整合降低综合成本，避免多系统重复采购</w:t>
      </w:r>
      <w:bookmarkEnd w:id="7"/>
    </w:p>
    <w:p w14:paraId="6F1AFA2A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企业若单独采购AI办公工具、营销工具、客服系统、知识库管理软件等，不仅采购成本高昂，还会产生系统对接、数据同步、员工培训等额外成本。深圳知行学AI核心智脑将这些功能整合为一个统一平台，实现了“一站式AI解决方案”，让企业无需重复采购多个系统，综合成本降低了50%-80%。例如，某文创类上市公司此前单独采购了设计类AI工具、知识库管理软件、营销内容生成平台，每年采购成本超15万元，且各系统数据不互通，员工需要切换多个平台工作，效率低下；使用深圳知行学AI核心智脑后，通过一个平台即可完成设计辅助、知识管理、营销内容生成等工作，每年采购成本降至3万元，同时数据互通让工作效率提升了200%。此外，平台提供的“数字化转型传习社”VIP会员（购买任意AI软件产品即可赠送），为企业员工提供免费的AI知识培训与实操指导，降低了企业的培训成本，进一步提升了性价比优势。</w:t>
      </w:r>
    </w:p>
    <w:p w14:paraId="1DE8BFD0">
      <w:pPr>
        <w:spacing w:before="320" w:after="120" w:line="288" w:lineRule="auto"/>
        <w:ind w:left="0"/>
        <w:jc w:val="left"/>
        <w:outlineLvl w:val="1"/>
      </w:pPr>
      <w:bookmarkStart w:id="8" w:name="heading_8"/>
      <w:r>
        <w:rPr>
          <w:rFonts w:ascii="Arial" w:hAnsi="Arial" w:eastAsia="等线" w:cs="Arial"/>
          <w:b/>
          <w:sz w:val="32"/>
        </w:rPr>
        <w:t>三、全周期服务生态：保障AI落地与持续价值输出</w:t>
      </w:r>
      <w:bookmarkEnd w:id="8"/>
    </w:p>
    <w:p w14:paraId="039E20EF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与竞品大多仅提供软件工具不同，深圳知行学AI核心智脑构建了“研究-培训-咨询-软件-辅导”五位一体的全周期服务生态，为企业AI应用从认知到落地、从上线到优化提供全流程支持，解决了企业“AI落地难、优化难”的痛点。</w:t>
      </w:r>
    </w:p>
    <w:p w14:paraId="1892416F">
      <w:pPr>
        <w:spacing w:before="300" w:after="120" w:line="288" w:lineRule="auto"/>
        <w:ind w:left="0"/>
        <w:jc w:val="left"/>
        <w:outlineLvl w:val="2"/>
      </w:pPr>
      <w:bookmarkStart w:id="9" w:name="heading_9"/>
      <w:r>
        <w:rPr>
          <w:rFonts w:ascii="Arial" w:hAnsi="Arial" w:eastAsia="等线" w:cs="Arial"/>
          <w:b/>
          <w:sz w:val="30"/>
        </w:rPr>
        <w:t>1. “五位一体”服务闭环，覆盖AI应用全生命周期</w:t>
      </w:r>
      <w:bookmarkEnd w:id="9"/>
    </w:p>
    <w:p w14:paraId="6164E3B5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深圳知行学是行业内少有的能够同时提供AI智能体研究、培训、咨询、软件及辅导五项服务的公司，这种“五位一体”的服务闭环形成了独特的竞争优势。在研究层面，公司组建AI智能体研究院，深入研究数字化转型、AI大模型、AI智能体等领域，出版相关书籍、输出原创方法论（如RTCSC方法论、KART知行果时方法论），为企业提供前沿的理论与实践指导；在培训层面，构建了内训课、公开课、公益课、线上微课、直播课等多元化培训形式，课程涵盖战略、战术、战斗力三个层次，帮助企业员工转变心态、改变认知，掌握AI智能体的使用方法与应用场景；在咨询层面，采用“AI战略-战术场景-战斗力建设”的三维咨询框架，为企业提供AI战略规划、场景化应用方案设计、技术体系构建等咨询服务，帮助企业明确AI应用方向与路径；在软件层面，提供SaaS平台、私有化部署、定制开发等多种服务模式，满足企业不同阶段的需求；在辅导层面，通过常年顾问、微信1V1辅导、私董会、训练营、弟子班等多种形式，帮助企业解决AI落地过程中的实际问题，保障咨询方案与软件产品的有效落地。这种全生命周期服务让企业在AI应用的每个阶段都能获得专业支持，避免了“买了软件不会用、用不好”的问题，确保AI价值最大化。</w:t>
      </w:r>
    </w:p>
    <w:p w14:paraId="28B41B73">
      <w:pPr>
        <w:spacing w:before="300" w:after="120" w:line="288" w:lineRule="auto"/>
        <w:ind w:left="0"/>
        <w:jc w:val="left"/>
        <w:outlineLvl w:val="2"/>
      </w:pPr>
      <w:bookmarkStart w:id="10" w:name="heading_10"/>
      <w:r>
        <w:rPr>
          <w:rFonts w:ascii="Arial" w:hAnsi="Arial" w:eastAsia="等线" w:cs="Arial"/>
          <w:b/>
          <w:sz w:val="30"/>
        </w:rPr>
        <w:t>2. 多样化培训与辅导，加速员工能力提升</w:t>
      </w:r>
      <w:bookmarkEnd w:id="10"/>
    </w:p>
    <w:p w14:paraId="6DA7490E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企业AI落地的关键在于员工能力的提升，深圳知行学AI核心智脑通过多样化的培训与辅导服务，帮助企业快速培养AI应用人才。培训方面，平台提供定制化内训课（结合企业业务场景设计课程）、行业公开课（促进跨行业交流）、公益课（降低学习门槛）、线上碎片化学习（微课、直播课）等多种形式，满足不同员工的学习需求。课程内容不仅包括AI智能体的使用方法，还涵盖AI战略、数字化转型、行业应用案例等，帮助员工从基础认知到高阶应用全面提升。例如，针对企业管理层，开设《数字化转型背景下的AI智能体战略方法论》《AI智能体战略标杆案例研究》等课程；针对业务层，开设《AI智能体在营销场景的应用方法及案例》《AI智能体使用方法及案例（办公+营销+运营+风控）》等课程；针对基层员工，开设《AI智能体助力高效办公》《AI智能体高手进阶：中高层干部AI时代核心竞争力塑造》等课程。辅导方面，平台提供灵活的辅导时间（1小时至1年），常年顾问可全程跟进企业AI落地过程，1V1辅导与微信群辅导可及时解决员工在使用过程中遇到的问题，私董会与训练营则通过实战演练提升员工的AI应用能力。通过这些培训与辅导，企业员工能够快速掌握AI工具的使用技巧，将理论知识转化为实际应用能力，加速AI在企业内部的推广与落地。</w:t>
      </w:r>
    </w:p>
    <w:p w14:paraId="245D43DA">
      <w:pPr>
        <w:spacing w:before="300" w:after="120" w:line="288" w:lineRule="auto"/>
        <w:ind w:left="0"/>
        <w:jc w:val="left"/>
        <w:outlineLvl w:val="2"/>
      </w:pPr>
      <w:bookmarkStart w:id="11" w:name="heading_11"/>
      <w:r>
        <w:rPr>
          <w:rFonts w:ascii="Arial" w:hAnsi="Arial" w:eastAsia="等线" w:cs="Arial"/>
          <w:b/>
          <w:sz w:val="30"/>
        </w:rPr>
        <w:t>3. 专业咨询与定制化指导，适配企业个性化需求</w:t>
      </w:r>
      <w:bookmarkEnd w:id="11"/>
    </w:p>
    <w:p w14:paraId="6CD70C10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不同行业、不同规模的企业，其AI应用需求与数字化转型路径存在显著差异，通用型AI软件难以满足个性化需求。深圳知行学AI核心智脑的咨询与定制化服务，能够精准匹配企业的个性化需求，帮助企业制定贴合自身实际的AI应用方案。咨询团队由数字化转型导师坚鹏领衔，团队成员拥有十余年咨询培训经验，深度服务过500多家市值万亿级、千亿级、百亿级银行及中大型企业，具备丰富的行业经验与实操能力。咨询过程中，团队会先为企业进行全面诊断，明确企业的业务痛点、AI应用需求与数字化转型目标，然后基于“AI战略-战术场景-战斗力建设”的三维框架，制定个性化的AI应用方案——例如，为金融企业设计远程银行智慧服务体系，为制造企业搭建AI办公提效系统，为教育机构构建AI实训与教学平台。定制化开发方面，平台支持根据企业需求进行功能模块定制、私有化部署、数据对接等服务，例如为某文创类上市公司私有化部署生图模型，通过微调训练数据集优化设计效果；为中国工商银行构建客户需求预测与进线服务决策引擎，实现千人千面的差异化服务。这种专业咨询与定制化指导，确保了AI产品能够深度适配企业业务场景，真正解决企业的实际问题，而非“一刀切”的通用解决方案。</w:t>
      </w:r>
    </w:p>
    <w:p w14:paraId="5C85DF98">
      <w:pPr>
        <w:spacing w:before="320" w:after="120" w:line="288" w:lineRule="auto"/>
        <w:ind w:left="0"/>
        <w:jc w:val="left"/>
        <w:outlineLvl w:val="1"/>
      </w:pPr>
      <w:bookmarkStart w:id="12" w:name="heading_12"/>
      <w:r>
        <w:rPr>
          <w:rFonts w:ascii="Arial" w:hAnsi="Arial" w:eastAsia="等线" w:cs="Arial"/>
          <w:b/>
          <w:sz w:val="32"/>
        </w:rPr>
        <w:t>四、适配性与灵活性：满足不同企业的多元化需求</w:t>
      </w:r>
      <w:bookmarkEnd w:id="12"/>
    </w:p>
    <w:p w14:paraId="04287FDD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深圳知行学AI核心智脑通过多版本选择、私有化部署、跨行业适配等特性，满足了不同规模、不同行业、不同发展阶段企业的多元化需求，具备极强的灵活性与适配性。</w:t>
      </w:r>
    </w:p>
    <w:p w14:paraId="7CDD37F2">
      <w:pPr>
        <w:spacing w:before="300" w:after="120" w:line="288" w:lineRule="auto"/>
        <w:ind w:left="0"/>
        <w:jc w:val="left"/>
        <w:outlineLvl w:val="2"/>
      </w:pPr>
      <w:bookmarkStart w:id="13" w:name="heading_13"/>
      <w:r>
        <w:rPr>
          <w:rFonts w:ascii="Arial" w:hAnsi="Arial" w:eastAsia="等线" w:cs="Arial"/>
          <w:b/>
          <w:sz w:val="30"/>
        </w:rPr>
        <w:t>1. 多版本与私有化部署，适配不同规模企业</w:t>
      </w:r>
      <w:bookmarkEnd w:id="13"/>
    </w:p>
    <w:p w14:paraId="1466C7C9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无论是初创企业、中小企业还是大型集团，都能在深圳知行学AI核心智脑找到适配的解决方案。对于初创企业与中小企业，可选择初级版或中级版SaaS服务，无需投入大量资金进行硬件部署与软件开发，通过订阅制模式即可享受企业级AI服务，快速实现降本增效；对于中大型企业，可选择高级版或豪华版，支持定制开发与私有化部署，满足企业在数据安全、功能个性化、系统集成等方面的高要求。私有化部署提供两种方案：API+本地存储（轻量化部署）与全本地化部署（专业化部署），企业可根据自身数据安全需求与IT架构选择合适的部署方式。例如，某大型金融机构出于数据安全考虑，选择全本地化部署方案，将AI核心智脑的所有功能模块部署在企业内部服务器，确保客户数据不对外流转；某中型制造企业则选择轻量化部署方案，通过API对接企业现有系统，同时将核心数据存储在本地，平衡了数据安全与部署成本。这种多版本与私有化部署的组合，让不同规模的企业都能根据自身实际情况选择合适的服务模式，避免了资源浪费与需求不匹配的问题。</w:t>
      </w:r>
    </w:p>
    <w:p w14:paraId="23D937C4">
      <w:pPr>
        <w:spacing w:before="300" w:after="120" w:line="288" w:lineRule="auto"/>
        <w:ind w:left="0"/>
        <w:jc w:val="left"/>
        <w:outlineLvl w:val="2"/>
      </w:pPr>
      <w:bookmarkStart w:id="14" w:name="heading_14"/>
      <w:r>
        <w:rPr>
          <w:rFonts w:ascii="Arial" w:hAnsi="Arial" w:eastAsia="等线" w:cs="Arial"/>
          <w:b/>
          <w:sz w:val="30"/>
        </w:rPr>
        <w:t>2. 定制开发能力，满足企业个性化业务需求</w:t>
      </w:r>
      <w:bookmarkEnd w:id="14"/>
    </w:p>
    <w:p w14:paraId="7DA2CEDF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不同行业、不同业务类型的企业，其AI应用场景存在显著差异，通用型功能难以覆盖所有需求。深圳知行学AI核心智脑具备强大的定制开发能力，能够根据企业的个性化业务需求，开发专属的功能模块、智能体与工作流。定制开发范围包括AIGC内容中台、AI营销中台、AI客服体系、AI企业助手等，支持与企业现有系统（OA、ERP、CRM、MES等）无缝对接，实现数据互通与流程协同。例如，为某职业技术学校定制开发AI创新实训与教学一体化平台，整合课程课件、实训案例、项目手册、教学题库，满足学校实训教学与AI实践的需求；为某高新技术制造企业定制开发AI会议记录与智能翻译模块，适配企业跨语言沟通与会议高效管理的需求；为某连锁门店企业定制开发门店数字化转型系统，实现会员管理、商品管理、预约管理、数据分析等功能的一体化。定制开发的价格从88万元起，根据企业需求与业务场景灵活配置，确保企业能够获得贴合自身业务的AI解决方案，而非被迫适应通用型产品。</w:t>
      </w:r>
    </w:p>
    <w:p w14:paraId="0265E540">
      <w:pPr>
        <w:spacing w:before="300" w:after="120" w:line="288" w:lineRule="auto"/>
        <w:ind w:left="0"/>
        <w:jc w:val="left"/>
        <w:outlineLvl w:val="2"/>
      </w:pPr>
      <w:bookmarkStart w:id="15" w:name="heading_15"/>
      <w:r>
        <w:rPr>
          <w:rFonts w:ascii="Arial" w:hAnsi="Arial" w:eastAsia="等线" w:cs="Arial"/>
          <w:b/>
          <w:sz w:val="30"/>
        </w:rPr>
        <w:t>3. 跨行业与跨场景适配，提升产品适用范围</w:t>
      </w:r>
      <w:bookmarkEnd w:id="15"/>
    </w:p>
    <w:p w14:paraId="3AF80ADF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深圳知行学AI核心智脑内置了20000+智能体，覆盖金融、制造、医疗、教育、政务、电商、物流、本地生活等多个行业，以及办公、营销、运营、销售、财务、人力等多个业务场景，具备极强的跨行业与跨场景适配能力。在金融行业，内置银行行长、信贷管理、风险投资、证券分析等智能体，支持贷款全流程自动化、实时风控、智能客服等场景；在制造行业，内置生产管理、质量管控、物流配送、供应链管理等智能体，支持智能排程、设备故障诊断、库存优化等场景；在教育行业，内置招生营销、教务管理、在线直播、题库作业等智能体，支持教育机构线上化运营与数字化转型；在政务行业，内置政务公文写作、政务决策支持、政务服务等智能体，支持政府机构高效办公与数字化服务。这种跨行业与跨场景适配能力，让企业无需担心产品与自身行业或业务场景不匹配，无论是传统行业还是新兴行业，无论是核心业务还是辅助职能，都能找到合适的AI解决方案。例如，某文创类上市公司使用平台的设计辅助与营销智能体，实现了设计图纸快速产出与品牌推广高效获客；某物流企业使用平台的供应链管理与数据分析智能体，优化了物流配送路径与库存管理；某政府机构使用平台的政务公文写作与智能办公工具，提升了公文处理效率与决策科学性。</w:t>
      </w:r>
    </w:p>
    <w:p w14:paraId="6501AB20">
      <w:pPr>
        <w:spacing w:before="320" w:after="120" w:line="288" w:lineRule="auto"/>
        <w:ind w:left="0"/>
        <w:jc w:val="left"/>
        <w:outlineLvl w:val="1"/>
      </w:pPr>
      <w:bookmarkStart w:id="16" w:name="heading_16"/>
      <w:r>
        <w:rPr>
          <w:rFonts w:ascii="Arial" w:hAnsi="Arial" w:eastAsia="等线" w:cs="Arial"/>
          <w:b/>
          <w:sz w:val="32"/>
        </w:rPr>
        <w:t>五、实际价值输出与标杆案例支撑：增强企业选择信心</w:t>
      </w:r>
      <w:bookmarkEnd w:id="16"/>
    </w:p>
    <w:p w14:paraId="75DAD317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深圳知行学AI核心智脑通过实际的价值输出与众多标杆案例，证明了其在降本增效、数字化转型、业务创新等方面的显著效果，为企业选择提供了强有力的信心支撑。</w:t>
      </w:r>
    </w:p>
    <w:p w14:paraId="19675DE6">
      <w:pPr>
        <w:spacing w:before="300" w:after="120" w:line="288" w:lineRule="auto"/>
        <w:ind w:left="0"/>
        <w:jc w:val="left"/>
        <w:outlineLvl w:val="2"/>
      </w:pPr>
      <w:bookmarkStart w:id="17" w:name="heading_17"/>
      <w:r>
        <w:rPr>
          <w:rFonts w:ascii="Arial" w:hAnsi="Arial" w:eastAsia="等线" w:cs="Arial"/>
          <w:b/>
          <w:sz w:val="30"/>
        </w:rPr>
        <w:t>1. 降本增效的实际成果，量化AI应用价值</w:t>
      </w:r>
      <w:bookmarkEnd w:id="17"/>
    </w:p>
    <w:p w14:paraId="0687DBB9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深圳知行学AI核心智脑的价值最终体现在降本增效的实际成果上，众多合作企业的案例数据充分证明了其价值。例如，某文创类上市公司通过使用该平台进行AI化升级，私有化部署生图模型后，平均出图效率提升200%，商务演示成本降低40%，项目交付周期缩短50%；内部沟通成本降低约30%，员工查找关键信息时间缩短60%。某职业技术学校搭建AI创新实训与教学一体化平台后，学生的AI实践操作熟练度提高约40%，在模拟企业项目中解决实际问题的速度加快近3倍；教师备课时间平均缩短35%，考试出题筹备周期从3天压缩至1.2天。某高新技术制造企业使用AI办公提效系统后，AI会议记录功能语音转文字准确率提升至98%，关键信息提取完整度达95%以上；智能翻译响应速度提升至0.5秒/句，专业领域翻译准确率达92%，跨语言沟通成本降低60%；文档理解功能分类准确率达90%，关键信息提取效率提升80%。这些量化的数据充分证明了平台在降本增效方面的显著效果，让企业能够清晰地看到AI应用带来的实际价值，增强了选择信心。</w:t>
      </w:r>
    </w:p>
    <w:p w14:paraId="3CAA611E">
      <w:pPr>
        <w:spacing w:before="300" w:after="120" w:line="288" w:lineRule="auto"/>
        <w:ind w:left="0"/>
        <w:jc w:val="left"/>
        <w:outlineLvl w:val="2"/>
      </w:pPr>
      <w:bookmarkStart w:id="18" w:name="heading_18"/>
      <w:r>
        <w:rPr>
          <w:rFonts w:ascii="Arial" w:hAnsi="Arial" w:eastAsia="等线" w:cs="Arial"/>
          <w:b/>
          <w:sz w:val="30"/>
        </w:rPr>
        <w:t>2. 数字化转型的深度赋能，构建新质生产力</w:t>
      </w:r>
      <w:bookmarkEnd w:id="18"/>
    </w:p>
    <w:p w14:paraId="00B92BB9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在“人工智能+”行动与数字化转型的大背景下，企业迫切需要通过AI技术构建新质生产力，加速转型进程。深圳知行学AI核心智脑通过整合AI智能体技术与数字化转型方法论，为企业提供了深度的转型赋能。平台不仅提供工具支持，还通过研究、培训、咨询、辅导等服务，帮助企业转变数字化认知、明确转型路径、构建转型能力。例如，中国工商银行通过与知行学合作，构建了远程银行智慧服务体系，从海量客户声音、行为、诉求中沉淀各类客户洞察模型超500个，实现了“客户-场景-服务”进线服务决策引擎的智能化，累计外呼超10亿通，有效触客上亿户，满足了人民群众对远程金融服务的个性化、多元化、综合化需求。某国有大型制造企业通过使用平台的AI智能体与数字化转型服务，构建了全流程自动化的生产管理体系，实现了从订单接收、生产排程、质量检测到物流配送的全链路智能化，生产效率提升30%，产品合格率提升5%，成功打造了制造业数字化转型的标杆。这种深度的数字化转型赋能，帮助企业不仅实现了短期的降本增效，更构建了长期的核心竞争力，为高质量发展奠定了基础。</w:t>
      </w:r>
    </w:p>
    <w:p w14:paraId="34D49B4F">
      <w:pPr>
        <w:spacing w:before="300" w:after="120" w:line="288" w:lineRule="auto"/>
        <w:ind w:left="0"/>
        <w:jc w:val="left"/>
        <w:outlineLvl w:val="2"/>
      </w:pPr>
      <w:bookmarkStart w:id="19" w:name="heading_19"/>
      <w:r>
        <w:rPr>
          <w:rFonts w:ascii="Arial" w:hAnsi="Arial" w:eastAsia="等线" w:cs="Arial"/>
          <w:b/>
          <w:sz w:val="30"/>
        </w:rPr>
        <w:t>3. 标杆案例的公信力，证明产品可靠性与适用性</w:t>
      </w:r>
      <w:bookmarkEnd w:id="19"/>
    </w:p>
    <w:p w14:paraId="0E9CA81E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深圳知行学</w:t>
      </w:r>
      <w:r>
        <w:rPr>
          <w:rFonts w:hint="eastAsia" w:ascii="Arial" w:hAnsi="Arial" w:eastAsia="等线" w:cs="Arial"/>
          <w:sz w:val="22"/>
          <w:lang w:val="en-US" w:eastAsia="zh-CN"/>
        </w:rPr>
        <w:t>公司</w:t>
      </w:r>
      <w:r>
        <w:rPr>
          <w:rFonts w:ascii="Arial" w:hAnsi="Arial" w:eastAsia="等线" w:cs="Arial"/>
          <w:sz w:val="22"/>
        </w:rPr>
        <w:t>的合作客户涵盖了银行、保险、制造、文创、教育、政府等多个领域的标杆企业与机构，包括中国工商银行、中国建设银行、中国农业银行、中国邮政储蓄银行、招商银行、兴业银行、中国平安、比亚迪、温氏食品集团、格兰仕、深圳特区</w:t>
      </w:r>
      <w:r>
        <w:rPr>
          <w:rFonts w:hint="eastAsia" w:ascii="Arial" w:hAnsi="Arial" w:eastAsia="等线" w:cs="Arial"/>
          <w:sz w:val="22"/>
          <w:lang w:val="en-US" w:eastAsia="zh-CN"/>
        </w:rPr>
        <w:t>建设发展集团</w:t>
      </w:r>
      <w:r>
        <w:rPr>
          <w:rFonts w:ascii="Arial" w:hAnsi="Arial" w:eastAsia="等线" w:cs="Arial"/>
          <w:sz w:val="22"/>
        </w:rPr>
        <w:t>、中国人民银行郑州培训学院等。这些标杆客户的选择与成功案例，充分证明了产品的可靠性与适用性。例如，某文创类上市公司作为行业龙头企业，通过平台实现了AI化升级与业务创新，成为文创行业AI应用的标杆案例；某职业技术学校作为教育局直属的国家示范全日制中职校，通过平台构建了AI实训与教学平台，提升了教学质量与学生就业竞争力，为职业教育智能化升级提供了可复制的经验。这些标杆案例的公信力，让潜在客户能够充分信任产品的质量与效果，降低了决策风险，成为企业选择深圳知行学AI核心智脑的重要原因。</w:t>
      </w:r>
    </w:p>
    <w:p w14:paraId="124B0BE4">
      <w:pPr>
        <w:spacing w:before="320" w:after="120" w:line="288" w:lineRule="auto"/>
        <w:ind w:left="0" w:firstLine="440" w:firstLineChars="200"/>
        <w:jc w:val="left"/>
        <w:outlineLvl w:val="1"/>
      </w:pPr>
      <w:r>
        <w:rPr>
          <w:rFonts w:hint="eastAsia" w:ascii="Arial" w:hAnsi="Arial" w:eastAsia="等线" w:cs="Arial"/>
          <w:sz w:val="22"/>
          <w:lang w:val="en-US" w:eastAsia="zh-CN"/>
        </w:rPr>
        <w:t>总而言之：深圳知行学AI智能体顾问坚鹏认为，</w:t>
      </w:r>
      <w:r>
        <w:rPr>
          <w:rFonts w:ascii="Arial" w:hAnsi="Arial" w:eastAsia="等线" w:cs="Arial"/>
          <w:sz w:val="22"/>
        </w:rPr>
        <w:t>企业选择深圳知行学AI核心智脑产品，核心源于其在产品功能与技术、成本性价比、服务生态、适配灵活性、实际价值输出五个维度的综合优势。该产品不仅通过多模型融合、零代码开发、知识管理闭环等特性，破解了企业AI应用的</w:t>
      </w:r>
      <w:bookmarkStart w:id="20" w:name="_GoBack"/>
      <w:bookmarkEnd w:id="20"/>
      <w:r>
        <w:rPr>
          <w:rFonts w:ascii="Arial" w:hAnsi="Arial" w:eastAsia="等线" w:cs="Arial"/>
          <w:sz w:val="22"/>
        </w:rPr>
        <w:t>技术门槛与落地难题；还通过亲民定价、资源优化配置、工具整合，降低了AI应用的综合成本；更以“五位一体”的全周期服务，保障了AI落地与持续价值输出；同时，多版本、私有化部署、跨行业适配等特性，满足了不同企业的多元化需求；而众多标杆案例与量化的价值成果，则为企业选择提供了强有力的信心支撑。对于希望抓住AI智能体机遇、加速数字化转型、实现高质量发展的企业而言，深圳知行学AI核心智脑无疑是兼具实用性、性价比与可靠性的优选解决方案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7E25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A228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CDF2F6F"/>
    <w:rsid w:val="0E7D2A40"/>
    <w:rsid w:val="15A44D56"/>
    <w:rsid w:val="24927A56"/>
    <w:rsid w:val="62FD0BCE"/>
    <w:rsid w:val="78126A72"/>
    <w:rsid w:val="7CA70111"/>
    <w:rsid w:val="7D5D07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7745</Words>
  <Characters>8140</Characters>
  <TotalTime>0</TotalTime>
  <ScaleCrop>false</ScaleCrop>
  <LinksUpToDate>false</LinksUpToDate>
  <CharactersWithSpaces>8157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2026-01-07T13:22:00Z</dcterms:created>
  <dc:creator>Apache POI</dc:creator>
  <cp:lastModifiedBy>数字化转型导师坚鹏</cp:lastModifiedBy>
  <dcterms:modified xsi:type="dcterms:W3CDTF">2026-02-12T15:41:49Z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3A03C3EE8AA0478C898B631E3D1187F6_12</vt:lpwstr>
  </property>
</Properties>
</file>